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numPr>
          <w:ilvl w:val="0"/>
          <w:numId w:val="4"/>
        </w:numPr>
        <w:spacing w:after="120" w:before="240"/>
        <w:contextualSpacing w:val="false"/>
        <w:jc w:val="center"/>
      </w:pPr>
      <w:r>
        <w:rPr/>
      </w:r>
    </w:p>
    <w:p>
      <w:pPr>
        <w:pStyle w:val="style1"/>
        <w:numPr>
          <w:ilvl w:val="0"/>
          <w:numId w:val="4"/>
        </w:numPr>
        <w:jc w:val="center"/>
      </w:pPr>
      <w:r>
        <w:rPr/>
        <w:t>CA de la SOFIME</w:t>
      </w:r>
    </w:p>
    <w:p>
      <w:pPr>
        <w:pStyle w:val="style37"/>
      </w:pPr>
      <w:r>
        <w:rPr/>
        <w:t>Réunion Siège AP – HP, avenue Victoria salle 119</w:t>
      </w:r>
    </w:p>
    <w:p>
      <w:pPr>
        <w:pStyle w:val="style37"/>
      </w:pPr>
      <w:r>
        <w:rPr/>
        <w:t>Le 02/10/2013 10h00 – 16h00</w:t>
      </w:r>
    </w:p>
    <w:p>
      <w:pPr>
        <w:pStyle w:val="style2"/>
        <w:numPr>
          <w:ilvl w:val="1"/>
          <w:numId w:val="4"/>
        </w:numPr>
      </w:pPr>
      <w:r>
        <w:rPr/>
        <w:t xml:space="preserve">Présents </w:t>
      </w:r>
      <w:r>
        <w:rPr/>
        <w:t>(12/20)</w:t>
      </w:r>
    </w:p>
    <w:p>
      <w:pPr>
        <w:pStyle w:val="style37"/>
      </w:pPr>
      <w:r>
        <w:rPr/>
        <w:t>DESPLATS Pierre-Édouard, FAUCONNIER Jérôme, GILLERON Véronique, METRAL Pierre, MONS Muriel (après-midi), NISAND Gabriel, PRADAT Éric, QUESNOT Stéphane, SEGURET Fabienne, TARIGHT Namik, THEIS Didier, François DUFOSSEZ</w:t>
      </w:r>
    </w:p>
    <w:p>
      <w:pPr>
        <w:pStyle w:val="style2"/>
        <w:numPr>
          <w:ilvl w:val="1"/>
          <w:numId w:val="4"/>
        </w:numPr>
        <w:jc w:val="left"/>
      </w:pPr>
      <w:r>
        <w:rPr/>
        <w:t>Admissions</w:t>
      </w:r>
    </w:p>
    <w:p>
      <w:pPr>
        <w:pStyle w:val="style37"/>
        <w:numPr>
          <w:ilvl w:val="1"/>
          <w:numId w:val="4"/>
        </w:numPr>
      </w:pPr>
      <w:r>
        <w:rPr/>
        <w:t xml:space="preserve">Relance pour les admissions (attendre les statistiques par région). </w:t>
      </w:r>
    </w:p>
    <w:p>
      <w:pPr>
        <w:pStyle w:val="style37"/>
        <w:numPr>
          <w:ilvl w:val="1"/>
          <w:numId w:val="4"/>
        </w:numPr>
      </w:pPr>
      <w:r>
        <w:rPr/>
        <w:t>Demander aux adhérents s'ils acceptent la publication sur le site d'unice des informations les concernant (</w:t>
      </w:r>
      <w:r>
        <w:rPr/>
        <w:t>modifier la fiche d'admission</w:t>
      </w:r>
      <w:r>
        <w:rPr/>
        <w:t>)</w:t>
      </w:r>
    </w:p>
    <w:p>
      <w:pPr>
        <w:pStyle w:val="style37"/>
        <w:numPr>
          <w:ilvl w:val="1"/>
          <w:numId w:val="4"/>
        </w:numPr>
      </w:pPr>
      <w:r>
        <w:rPr/>
        <w:t xml:space="preserve">Liste d'adhérents par région à adresser aux membres du CA (Namik </w:t>
      </w:r>
      <w:r>
        <w:rPr/>
        <w:t>au prochain CA</w:t>
      </w:r>
      <w:r>
        <w:rPr/>
        <w:t>).</w:t>
      </w:r>
    </w:p>
    <w:p>
      <w:pPr>
        <w:pStyle w:val="style2"/>
        <w:numPr>
          <w:ilvl w:val="1"/>
          <w:numId w:val="4"/>
        </w:numPr>
        <w:jc w:val="left"/>
      </w:pPr>
      <w:r>
        <w:rPr/>
        <w:t>État financier</w:t>
      </w:r>
    </w:p>
    <w:p>
      <w:pPr>
        <w:pStyle w:val="style37"/>
      </w:pPr>
      <w:r>
        <w:rPr>
          <w:color w:val="000000"/>
        </w:rPr>
        <w:t>Recettes : 3  870 euros (+2 adhésions ce jour).</w:t>
      </w:r>
    </w:p>
    <w:p>
      <w:pPr>
        <w:pStyle w:val="style37"/>
      </w:pPr>
      <w:r>
        <w:rPr>
          <w:color w:val="000000"/>
        </w:rPr>
        <w:t>Dépenses :  51,50 euros.</w:t>
      </w:r>
    </w:p>
    <w:p>
      <w:pPr>
        <w:pStyle w:val="style37"/>
      </w:pPr>
      <w:r>
        <w:rPr>
          <w:color w:val="000000"/>
        </w:rPr>
        <w:t xml:space="preserve">Pas </w:t>
      </w:r>
      <w:r>
        <w:rPr>
          <w:color w:val="000000"/>
        </w:rPr>
        <w:t xml:space="preserve">encore </w:t>
      </w:r>
      <w:r>
        <w:rPr>
          <w:color w:val="000000"/>
        </w:rPr>
        <w:t>de chéquier/carte.</w:t>
      </w:r>
    </w:p>
    <w:p>
      <w:pPr>
        <w:pStyle w:val="style2"/>
        <w:widowControl w:val="false"/>
        <w:numPr>
          <w:ilvl w:val="1"/>
          <w:numId w:val="4"/>
        </w:numPr>
        <w:tabs/>
        <w:suppressAutoHyphens w:val="true"/>
        <w:overflowPunct w:val="false"/>
        <w:jc w:val="left"/>
      </w:pPr>
      <w:r>
        <w:rPr>
          <w:rFonts w:cs="Lohit Hindi" w:eastAsia="Times New Roman"/>
          <w:lang w:bidi="hi-IN" w:eastAsia="zh-CN" w:val="fr-FR"/>
        </w:rPr>
        <w:t>Communication</w:t>
      </w:r>
    </w:p>
    <w:p>
      <w:pPr>
        <w:pStyle w:val="style37"/>
        <w:numPr>
          <w:ilvl w:val="1"/>
          <w:numId w:val="4"/>
        </w:numPr>
      </w:pPr>
      <w:r>
        <w:rPr>
          <w:color w:val="000000"/>
        </w:rPr>
        <w:t xml:space="preserve">Participation voire parrainage de la SoFIME du séminaire ENCc. </w:t>
      </w:r>
    </w:p>
    <w:p>
      <w:pPr>
        <w:pStyle w:val="style37"/>
        <w:numPr>
          <w:ilvl w:val="1"/>
          <w:numId w:val="4"/>
        </w:numPr>
      </w:pPr>
      <w:r>
        <w:rPr>
          <w:color w:val="000000"/>
        </w:rPr>
        <w:t>Site internet : il faut essayer de mettre en place un site internet+logo le plus rapidement possible car c’est essentiel en termes de communication. Éric Pradat prend contact avec Pascal Staccini qui s'était proposé de s'en occuper.</w:t>
      </w:r>
    </w:p>
    <w:p>
      <w:pPr>
        <w:pStyle w:val="style2"/>
        <w:widowControl w:val="false"/>
        <w:numPr>
          <w:ilvl w:val="1"/>
          <w:numId w:val="4"/>
        </w:numPr>
        <w:tabs/>
        <w:suppressAutoHyphens w:val="true"/>
        <w:overflowPunct w:val="false"/>
        <w:jc w:val="left"/>
      </w:pPr>
      <w:r>
        <w:rPr>
          <w:rFonts w:cs="Lohit Hindi" w:eastAsia="Times New Roman"/>
          <w:lang w:bidi="hi-IN" w:eastAsia="zh-CN" w:val="fr-FR"/>
        </w:rPr>
        <w:t>Formation</w:t>
      </w:r>
    </w:p>
    <w:p>
      <w:pPr>
        <w:pStyle w:val="style37"/>
        <w:numPr>
          <w:ilvl w:val="1"/>
          <w:numId w:val="4"/>
        </w:numPr>
      </w:pPr>
      <w:r>
        <w:rPr>
          <w:color w:val="000000"/>
        </w:rPr>
        <w:t>DPC : atelier au séminaire national ENCc de Rennes-Saint-Malo (2014).</w:t>
      </w:r>
    </w:p>
    <w:p>
      <w:pPr>
        <w:pStyle w:val="style37"/>
        <w:numPr>
          <w:ilvl w:val="1"/>
          <w:numId w:val="4"/>
        </w:numPr>
      </w:pPr>
      <w:r>
        <w:rPr>
          <w:color w:val="000000"/>
        </w:rPr>
        <w:t>Réunions EPP déjà en route en région (Aquitaine, Rhône-Alpes, …)</w:t>
      </w:r>
    </w:p>
    <w:p>
      <w:pPr>
        <w:pStyle w:val="style37"/>
        <w:numPr>
          <w:ilvl w:val="1"/>
          <w:numId w:val="4"/>
        </w:numPr>
      </w:pPr>
      <w:r>
        <w:rPr>
          <w:color w:val="000000"/>
        </w:rPr>
        <w:t xml:space="preserve">La commission </w:t>
      </w:r>
      <w:r>
        <w:rPr>
          <w:b/>
          <w:bCs/>
          <w:color w:val="000000"/>
          <w:u w:val="single"/>
        </w:rPr>
        <w:t>Formations</w:t>
      </w:r>
      <w:r>
        <w:rPr>
          <w:color w:val="000000"/>
        </w:rPr>
        <w:t xml:space="preserve"> prépare</w:t>
      </w:r>
      <w:r>
        <w:rPr>
          <w:color w:val="000000"/>
        </w:rPr>
        <w:t>(ra)</w:t>
      </w:r>
      <w:r>
        <w:rPr>
          <w:color w:val="000000"/>
        </w:rPr>
        <w:t xml:space="preserve"> un dossier DPC pour le séminaire ENCc et la journée FHP-MCO (1/2 journée d'évaluation).</w:t>
      </w:r>
    </w:p>
    <w:p>
      <w:pPr>
        <w:pStyle w:val="style37"/>
        <w:numPr>
          <w:ilvl w:val="1"/>
          <w:numId w:val="4"/>
        </w:numPr>
      </w:pPr>
      <w:r>
        <w:rPr>
          <w:color w:val="000000"/>
        </w:rPr>
        <w:t>Quelle OG-DPC pour la SoFIME ?</w:t>
      </w:r>
    </w:p>
    <w:p>
      <w:pPr>
        <w:pStyle w:val="style37"/>
      </w:pPr>
      <w:r>
        <w:rPr/>
        <w:t>La société est au CA du Centre National professionnel de Santé publique (Muriel et Stéphane , Muriel communiquera au CA le calendrier du CNP).</w:t>
      </w:r>
    </w:p>
    <w:p>
      <w:pPr>
        <w:pStyle w:val="style37"/>
      </w:pPr>
      <w:r>
        <w:rPr/>
        <w:t>Rôle de la SoFIME : promoteur (commanditaire) voire organisateur.</w:t>
      </w:r>
    </w:p>
    <w:p>
      <w:pPr>
        <w:pStyle w:val="style37"/>
      </w:pPr>
      <w:r>
        <w:rPr/>
        <w:t xml:space="preserve">La SFSP se constituant O-DPC, il est très possible que la SoFIME </w:t>
      </w:r>
      <w:r>
        <w:rPr/>
        <w:t>puisse elle-même le faire.</w:t>
      </w:r>
    </w:p>
    <w:p>
      <w:pPr>
        <w:pStyle w:val="style37"/>
      </w:pPr>
      <w:r>
        <w:rPr/>
        <w:t>Objectif 50 – 100 médecins participants à un DPC.</w:t>
      </w:r>
    </w:p>
    <w:p>
      <w:pPr>
        <w:pStyle w:val="style37"/>
      </w:pPr>
      <w:r>
        <w:rPr/>
      </w:r>
    </w:p>
    <w:p>
      <w:pPr>
        <w:pStyle w:val="style2"/>
        <w:numPr>
          <w:ilvl w:val="1"/>
          <w:numId w:val="4"/>
        </w:numPr>
        <w:jc w:val="left"/>
      </w:pPr>
      <w:r>
        <w:rPr/>
        <w:t>Organisation et travaux des commissions</w:t>
      </w:r>
    </w:p>
    <w:p>
      <w:pPr>
        <w:pStyle w:val="style37"/>
      </w:pPr>
      <w:r>
        <w:rPr/>
        <w:t>Discussion autour de la désignation des coordonnateurs de commissions.</w:t>
      </w:r>
    </w:p>
    <w:p>
      <w:pPr>
        <w:pStyle w:val="style37"/>
      </w:pPr>
      <w:r>
        <w:rPr/>
        <w:t xml:space="preserve">Un amendement du fonctionnement est proposé. </w:t>
      </w:r>
    </w:p>
    <w:p>
      <w:pPr>
        <w:pStyle w:val="style37"/>
      </w:pPr>
      <w:r>
        <w:rPr/>
        <w:t>Les coordonnateurs de commission présenteront leur programme de travail avant fin 2013.</w:t>
      </w:r>
    </w:p>
    <w:p>
      <w:pPr>
        <w:pStyle w:val="style37"/>
      </w:pPr>
      <w:r>
        <w:rPr/>
        <w:t>Le bureau sera informé trimestriellement et par écrit de l'avancement des travaux de la commission.</w:t>
      </w:r>
    </w:p>
    <w:p>
      <w:pPr>
        <w:pStyle w:val="style37"/>
      </w:pPr>
      <w:r>
        <w:rPr/>
        <w:t>Le mandat pour le coordonnateur est annuel et renouvelable.</w:t>
      </w:r>
    </w:p>
    <w:p>
      <w:pPr>
        <w:pStyle w:val="style37"/>
      </w:pPr>
      <w:r>
        <w:rPr/>
        <w:t>Premier rôle des commissions : bibliographie, recensement des écrits.</w:t>
      </w:r>
    </w:p>
    <w:p>
      <w:pPr>
        <w:pStyle w:val="style37"/>
      </w:pPr>
      <w:r>
        <w:rPr/>
        <w:t>Le CA procède à un vote pour la désignation des coordonnateurs.</w:t>
      </w:r>
    </w:p>
    <w:p>
      <w:pPr>
        <w:pStyle w:val="style37"/>
      </w:pPr>
      <w:r>
        <w:rPr/>
        <w:t>Rôle et missions des DIM [RODIM] (9 membres) – 11 votants – 1 abstention</w:t>
      </w:r>
      <w:bookmarkStart w:id="0" w:name="__DdeLink__303_1303882463"/>
      <w:r>
        <w:rPr/>
        <w:t xml:space="preserve"> –</w:t>
      </w:r>
      <w:bookmarkEnd w:id="0"/>
      <w:r>
        <w:rPr/>
        <w:t xml:space="preserve"> 0 contre</w:t>
      </w:r>
    </w:p>
    <w:p>
      <w:pPr>
        <w:pStyle w:val="style37"/>
      </w:pPr>
      <w:r>
        <w:rPr/>
        <w:t>Référentiels et classifications [REF</w:t>
      </w:r>
      <w:r>
        <w:rPr>
          <w:position w:val="14"/>
        </w:rPr>
        <w:t>n</w:t>
      </w:r>
      <w:r>
        <w:rPr/>
        <w:t>] (29 membres) – 9 votants – 1 abstention – 0 contre</w:t>
      </w:r>
    </w:p>
    <w:p>
      <w:pPr>
        <w:pStyle w:val="style37"/>
      </w:pPr>
      <w:r>
        <w:rPr/>
        <w:t>Formations [FORM] (10) – 10 votants – 1 abstention – 0 contre</w:t>
      </w:r>
    </w:p>
    <w:p>
      <w:pPr>
        <w:pStyle w:val="style37"/>
      </w:pPr>
      <w:r>
        <w:rPr/>
        <w:t>Confidentialité – Sécurité – Usagers [CONF] (9) – 10 votants – 1 abstention – 0 contre</w:t>
      </w:r>
    </w:p>
    <w:p>
      <w:pPr>
        <w:pStyle w:val="style37"/>
      </w:pPr>
      <w:r>
        <w:rPr/>
        <w:t>DPI  SIH  SI Partagés [DPI ] (10) – 11 votants – 1 abstention – 0 contre</w:t>
      </w:r>
    </w:p>
    <w:p>
      <w:pPr>
        <w:pStyle w:val="style37"/>
      </w:pPr>
      <w:r>
        <w:rPr/>
        <w:t>Méthodes et  analyse des données [MAD] (29) – 9 votants – 1 abstention – 0 contre</w:t>
      </w:r>
    </w:p>
    <w:p>
      <w:pPr>
        <w:pStyle w:val="style37"/>
      </w:pPr>
      <w:r>
        <w:rPr/>
        <w:t>Certification – Qualité – Risques [CEQURI] (7) – 11 votants – 1 abstention – 0 contre</w:t>
      </w:r>
    </w:p>
    <w:p>
      <w:pPr>
        <w:pStyle w:val="style37"/>
      </w:pPr>
      <w:r>
        <w:rPr/>
      </w:r>
    </w:p>
    <w:tbl>
      <w:tblPr>
        <w:jc w:val="left"/>
        <w:tblInd w:type="dxa" w:w="-774"/>
        <w:tblBorders>
          <w:top w:color="000001" w:space="0" w:sz="2" w:val="single"/>
          <w:left w:color="000001" w:space="0" w:sz="2" w:val="single"/>
          <w:bottom w:color="000001" w:space="0" w:sz="2" w:val="single"/>
        </w:tblBorders>
      </w:tblPr>
      <w:tblGrid>
        <w:gridCol w:w="1813"/>
        <w:gridCol w:w="2638"/>
        <w:gridCol w:w="2294"/>
        <w:gridCol w:w="2892"/>
      </w:tblGrid>
      <w:tr>
        <w:trPr>
          <w:cantSplit w:val="false"/>
        </w:trPr>
        <w:tc>
          <w:tcPr>
            <w:tcW w:type="dxa" w:w="1813"/>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4"/>
            </w:pPr>
            <w:r>
              <w:rPr/>
              <w:t>Commission</w:t>
            </w:r>
          </w:p>
        </w:tc>
        <w:tc>
          <w:tcPr>
            <w:tcW w:type="dxa" w:w="263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4"/>
            </w:pPr>
            <w:r>
              <w:rPr/>
              <w:t>Coordonnateur 1</w:t>
            </w:r>
          </w:p>
        </w:tc>
        <w:tc>
          <w:tcPr>
            <w:tcW w:type="dxa" w:w="2294"/>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4"/>
            </w:pPr>
            <w:r>
              <w:rPr/>
              <w:t>Coordonnateur 2</w:t>
            </w:r>
          </w:p>
        </w:tc>
        <w:tc>
          <w:tcPr>
            <w:tcW w:type="dxa" w:w="289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4"/>
            </w:pPr>
            <w:r>
              <w:rPr/>
              <w:t>Lien avec le CA</w:t>
            </w:r>
          </w:p>
        </w:tc>
      </w:tr>
      <w:tr>
        <w:trPr>
          <w:cantSplit w:val="false"/>
        </w:trPr>
        <w:tc>
          <w:tcPr>
            <w:tcW w:type="dxa" w:w="1813"/>
            <w:tcBorders>
              <w:left w:color="000001" w:space="0" w:sz="2" w:val="single"/>
              <w:bottom w:color="000001" w:space="0" w:sz="2" w:val="single"/>
            </w:tcBorders>
            <w:shd w:fill="FFFFFF" w:val="clear"/>
            <w:tcMar>
              <w:top w:type="dxa" w:w="0"/>
              <w:left w:type="dxa" w:w="108"/>
              <w:bottom w:type="dxa" w:w="0"/>
              <w:right w:type="dxa" w:w="108"/>
            </w:tcMar>
          </w:tcPr>
          <w:p>
            <w:pPr>
              <w:pStyle w:val="style37"/>
              <w:spacing w:after="120" w:before="0"/>
              <w:contextualSpacing w:val="false"/>
            </w:pPr>
            <w:r>
              <w:rPr/>
              <w:t>RODIM</w:t>
            </w:r>
          </w:p>
        </w:tc>
        <w:tc>
          <w:tcPr>
            <w:tcW w:type="dxa" w:w="2638"/>
            <w:tcBorders>
              <w:left w:color="000001" w:space="0" w:sz="2" w:val="single"/>
              <w:bottom w:color="000001" w:space="0" w:sz="2" w:val="single"/>
            </w:tcBorders>
            <w:shd w:fill="FFFFFF" w:val="clear"/>
            <w:tcMar>
              <w:top w:type="dxa" w:w="0"/>
              <w:left w:type="dxa" w:w="108"/>
              <w:bottom w:type="dxa" w:w="0"/>
              <w:right w:type="dxa" w:w="108"/>
            </w:tcMar>
          </w:tcPr>
          <w:p>
            <w:pPr>
              <w:pStyle w:val="style44"/>
            </w:pPr>
            <w:r>
              <w:rPr/>
              <w:t>Bernard Garrigues</w:t>
            </w:r>
          </w:p>
        </w:tc>
        <w:tc>
          <w:tcPr>
            <w:tcW w:type="dxa" w:w="2294"/>
            <w:tcBorders>
              <w:left w:color="000001" w:space="0" w:sz="2" w:val="single"/>
              <w:bottom w:color="000001" w:space="0" w:sz="2" w:val="single"/>
            </w:tcBorders>
            <w:shd w:fill="FFFFFF" w:val="clear"/>
            <w:tcMar>
              <w:top w:type="dxa" w:w="0"/>
              <w:left w:type="dxa" w:w="108"/>
              <w:bottom w:type="dxa" w:w="0"/>
              <w:right w:type="dxa" w:w="108"/>
            </w:tcMar>
          </w:tcPr>
          <w:p>
            <w:pPr>
              <w:pStyle w:val="style44"/>
            </w:pPr>
            <w:r>
              <w:rPr/>
            </w:r>
          </w:p>
        </w:tc>
        <w:tc>
          <w:tcPr>
            <w:tcW w:type="dxa" w:w="289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4"/>
            </w:pPr>
            <w:r>
              <w:rPr/>
              <w:t>Gabriel Nisand</w:t>
            </w:r>
          </w:p>
        </w:tc>
      </w:tr>
      <w:tr>
        <w:trPr>
          <w:cantSplit w:val="false"/>
        </w:trPr>
        <w:tc>
          <w:tcPr>
            <w:tcW w:type="dxa" w:w="1813"/>
            <w:tcBorders>
              <w:left w:color="000001" w:space="0" w:sz="2" w:val="single"/>
              <w:bottom w:color="000001" w:space="0" w:sz="2" w:val="single"/>
            </w:tcBorders>
            <w:shd w:fill="FFFFFF" w:val="clear"/>
            <w:tcMar>
              <w:top w:type="dxa" w:w="0"/>
              <w:left w:type="dxa" w:w="108"/>
              <w:bottom w:type="dxa" w:w="0"/>
              <w:right w:type="dxa" w:w="108"/>
            </w:tcMar>
          </w:tcPr>
          <w:p>
            <w:pPr>
              <w:pStyle w:val="style37"/>
              <w:spacing w:after="120" w:before="0"/>
              <w:contextualSpacing w:val="false"/>
            </w:pPr>
            <w:r>
              <w:rPr/>
              <w:t>REF</w:t>
            </w:r>
            <w:r>
              <w:rPr>
                <w:position w:val="14"/>
              </w:rPr>
              <w:t>n</w:t>
            </w:r>
          </w:p>
        </w:tc>
        <w:tc>
          <w:tcPr>
            <w:tcW w:type="dxa" w:w="2638"/>
            <w:tcBorders>
              <w:left w:color="000001" w:space="0" w:sz="2" w:val="single"/>
              <w:bottom w:color="000001" w:space="0" w:sz="2" w:val="single"/>
            </w:tcBorders>
            <w:shd w:fill="FFFFFF" w:val="clear"/>
            <w:tcMar>
              <w:top w:type="dxa" w:w="0"/>
              <w:left w:type="dxa" w:w="108"/>
              <w:bottom w:type="dxa" w:w="0"/>
              <w:right w:type="dxa" w:w="108"/>
            </w:tcMar>
          </w:tcPr>
          <w:p>
            <w:pPr>
              <w:pStyle w:val="style44"/>
            </w:pPr>
            <w:r>
              <w:rPr/>
              <w:t>Didier Theis</w:t>
            </w:r>
          </w:p>
        </w:tc>
        <w:tc>
          <w:tcPr>
            <w:tcW w:type="dxa" w:w="2294"/>
            <w:tcBorders>
              <w:left w:color="000001" w:space="0" w:sz="2" w:val="single"/>
              <w:bottom w:color="000001" w:space="0" w:sz="2" w:val="single"/>
            </w:tcBorders>
            <w:shd w:fill="FFFFFF" w:val="clear"/>
            <w:tcMar>
              <w:top w:type="dxa" w:w="0"/>
              <w:left w:type="dxa" w:w="108"/>
              <w:bottom w:type="dxa" w:w="0"/>
              <w:right w:type="dxa" w:w="108"/>
            </w:tcMar>
          </w:tcPr>
          <w:p>
            <w:pPr>
              <w:pStyle w:val="style44"/>
            </w:pPr>
            <w:r>
              <w:rPr/>
              <w:t>Véronique Gilleron</w:t>
            </w:r>
          </w:p>
        </w:tc>
        <w:tc>
          <w:tcPr>
            <w:tcW w:type="dxa" w:w="289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4"/>
            </w:pPr>
            <w:r>
              <w:rPr/>
              <w:t>Loetizia Froment</w:t>
            </w:r>
          </w:p>
        </w:tc>
      </w:tr>
      <w:tr>
        <w:trPr>
          <w:cantSplit w:val="false"/>
        </w:trPr>
        <w:tc>
          <w:tcPr>
            <w:tcW w:type="dxa" w:w="1813"/>
            <w:tcBorders>
              <w:left w:color="000001" w:space="0" w:sz="2" w:val="single"/>
              <w:bottom w:color="000001" w:space="0" w:sz="2" w:val="single"/>
            </w:tcBorders>
            <w:shd w:fill="FFFFFF" w:val="clear"/>
            <w:tcMar>
              <w:top w:type="dxa" w:w="0"/>
              <w:left w:type="dxa" w:w="108"/>
              <w:bottom w:type="dxa" w:w="0"/>
              <w:right w:type="dxa" w:w="108"/>
            </w:tcMar>
          </w:tcPr>
          <w:p>
            <w:pPr>
              <w:pStyle w:val="style37"/>
              <w:spacing w:after="120" w:before="0"/>
              <w:contextualSpacing w:val="false"/>
            </w:pPr>
            <w:r>
              <w:rPr/>
              <w:t>FORM</w:t>
            </w:r>
          </w:p>
        </w:tc>
        <w:tc>
          <w:tcPr>
            <w:tcW w:type="dxa" w:w="2638"/>
            <w:tcBorders>
              <w:left w:color="000001" w:space="0" w:sz="2" w:val="single"/>
              <w:bottom w:color="000001" w:space="0" w:sz="2" w:val="single"/>
            </w:tcBorders>
            <w:shd w:fill="FFFFFF" w:val="clear"/>
            <w:tcMar>
              <w:top w:type="dxa" w:w="0"/>
              <w:left w:type="dxa" w:w="108"/>
              <w:bottom w:type="dxa" w:w="0"/>
              <w:right w:type="dxa" w:w="108"/>
            </w:tcMar>
          </w:tcPr>
          <w:p>
            <w:pPr>
              <w:pStyle w:val="style44"/>
            </w:pPr>
            <w:r>
              <w:rPr/>
              <w:t>Emmanuel Rusch</w:t>
            </w:r>
          </w:p>
        </w:tc>
        <w:tc>
          <w:tcPr>
            <w:tcW w:type="dxa" w:w="2294"/>
            <w:tcBorders>
              <w:left w:color="000001" w:space="0" w:sz="2" w:val="single"/>
              <w:bottom w:color="000001" w:space="0" w:sz="2" w:val="single"/>
            </w:tcBorders>
            <w:shd w:fill="FFFFFF" w:val="clear"/>
            <w:tcMar>
              <w:top w:type="dxa" w:w="0"/>
              <w:left w:type="dxa" w:w="108"/>
              <w:bottom w:type="dxa" w:w="0"/>
              <w:right w:type="dxa" w:w="108"/>
            </w:tcMar>
          </w:tcPr>
          <w:p>
            <w:pPr>
              <w:pStyle w:val="style44"/>
            </w:pPr>
            <w:r>
              <w:rPr/>
              <w:t xml:space="preserve">Jérôme Fauconnier </w:t>
            </w:r>
          </w:p>
        </w:tc>
        <w:tc>
          <w:tcPr>
            <w:tcW w:type="dxa" w:w="289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4"/>
            </w:pPr>
            <w:r>
              <w:rPr/>
              <w:t>Pascal Staccini</w:t>
            </w:r>
          </w:p>
        </w:tc>
      </w:tr>
      <w:tr>
        <w:trPr>
          <w:cantSplit w:val="false"/>
        </w:trPr>
        <w:tc>
          <w:tcPr>
            <w:tcW w:type="dxa" w:w="1813"/>
            <w:tcBorders>
              <w:left w:color="000001" w:space="0" w:sz="2" w:val="single"/>
              <w:bottom w:color="000001" w:space="0" w:sz="2" w:val="single"/>
            </w:tcBorders>
            <w:shd w:fill="FFFFFF" w:val="clear"/>
            <w:tcMar>
              <w:top w:type="dxa" w:w="0"/>
              <w:left w:type="dxa" w:w="108"/>
              <w:bottom w:type="dxa" w:w="0"/>
              <w:right w:type="dxa" w:w="108"/>
            </w:tcMar>
          </w:tcPr>
          <w:p>
            <w:pPr>
              <w:pStyle w:val="style37"/>
              <w:spacing w:after="120" w:before="0"/>
              <w:contextualSpacing w:val="false"/>
            </w:pPr>
            <w:r>
              <w:rPr/>
              <w:t>CONF</w:t>
            </w:r>
          </w:p>
        </w:tc>
        <w:tc>
          <w:tcPr>
            <w:tcW w:type="dxa" w:w="2638"/>
            <w:tcBorders>
              <w:left w:color="000001" w:space="0" w:sz="2" w:val="single"/>
              <w:bottom w:color="000001" w:space="0" w:sz="2" w:val="single"/>
            </w:tcBorders>
            <w:shd w:fill="FFFFFF" w:val="clear"/>
            <w:tcMar>
              <w:top w:type="dxa" w:w="0"/>
              <w:left w:type="dxa" w:w="108"/>
              <w:bottom w:type="dxa" w:w="0"/>
              <w:right w:type="dxa" w:w="108"/>
            </w:tcMar>
          </w:tcPr>
          <w:p>
            <w:pPr>
              <w:pStyle w:val="style44"/>
            </w:pPr>
            <w:r>
              <w:rPr/>
              <w:t>Gilles Madelon</w:t>
            </w:r>
          </w:p>
        </w:tc>
        <w:tc>
          <w:tcPr>
            <w:tcW w:type="dxa" w:w="2294"/>
            <w:tcBorders>
              <w:left w:color="000001" w:space="0" w:sz="2" w:val="single"/>
              <w:bottom w:color="000001" w:space="0" w:sz="2" w:val="single"/>
            </w:tcBorders>
            <w:shd w:fill="FFFFFF" w:val="clear"/>
            <w:tcMar>
              <w:top w:type="dxa" w:w="0"/>
              <w:left w:type="dxa" w:w="108"/>
              <w:bottom w:type="dxa" w:w="0"/>
              <w:right w:type="dxa" w:w="108"/>
            </w:tcMar>
          </w:tcPr>
          <w:p>
            <w:pPr>
              <w:pStyle w:val="style44"/>
            </w:pPr>
            <w:r>
              <w:rPr/>
              <w:t>Éric Pradat</w:t>
            </w:r>
          </w:p>
        </w:tc>
        <w:tc>
          <w:tcPr>
            <w:tcW w:type="dxa" w:w="289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4"/>
            </w:pPr>
            <w:r>
              <w:rPr/>
              <w:t>Namik Taright</w:t>
            </w:r>
          </w:p>
        </w:tc>
      </w:tr>
      <w:tr>
        <w:trPr>
          <w:cantSplit w:val="false"/>
        </w:trPr>
        <w:tc>
          <w:tcPr>
            <w:tcW w:type="dxa" w:w="1813"/>
            <w:tcBorders>
              <w:left w:color="000001" w:space="0" w:sz="2" w:val="single"/>
              <w:bottom w:color="000001" w:space="0" w:sz="2" w:val="single"/>
            </w:tcBorders>
            <w:shd w:fill="FFFFFF" w:val="clear"/>
            <w:tcMar>
              <w:top w:type="dxa" w:w="0"/>
              <w:left w:type="dxa" w:w="108"/>
              <w:bottom w:type="dxa" w:w="0"/>
              <w:right w:type="dxa" w:w="108"/>
            </w:tcMar>
          </w:tcPr>
          <w:p>
            <w:pPr>
              <w:pStyle w:val="style44"/>
            </w:pPr>
            <w:r>
              <w:rPr/>
              <w:t>DPI</w:t>
            </w:r>
          </w:p>
        </w:tc>
        <w:tc>
          <w:tcPr>
            <w:tcW w:type="dxa" w:w="2638"/>
            <w:tcBorders>
              <w:left w:color="000001" w:space="0" w:sz="2" w:val="single"/>
              <w:bottom w:color="000001" w:space="0" w:sz="2" w:val="single"/>
            </w:tcBorders>
            <w:shd w:fill="FFFFFF" w:val="clear"/>
            <w:tcMar>
              <w:top w:type="dxa" w:w="0"/>
              <w:left w:type="dxa" w:w="108"/>
              <w:bottom w:type="dxa" w:w="0"/>
              <w:right w:type="dxa" w:w="108"/>
            </w:tcMar>
          </w:tcPr>
          <w:p>
            <w:pPr>
              <w:pStyle w:val="style44"/>
            </w:pPr>
            <w:r>
              <w:rPr/>
              <w:t>Éric Lepage</w:t>
            </w:r>
          </w:p>
        </w:tc>
        <w:tc>
          <w:tcPr>
            <w:tcW w:type="dxa" w:w="2294"/>
            <w:tcBorders>
              <w:left w:color="000001" w:space="0" w:sz="2" w:val="single"/>
              <w:bottom w:color="000001" w:space="0" w:sz="2" w:val="single"/>
            </w:tcBorders>
            <w:shd w:fill="FFFFFF" w:val="clear"/>
            <w:tcMar>
              <w:top w:type="dxa" w:w="0"/>
              <w:left w:type="dxa" w:w="108"/>
              <w:bottom w:type="dxa" w:w="0"/>
              <w:right w:type="dxa" w:w="108"/>
            </w:tcMar>
          </w:tcPr>
          <w:p>
            <w:pPr>
              <w:pStyle w:val="style44"/>
            </w:pPr>
            <w:r>
              <w:rPr/>
            </w:r>
          </w:p>
        </w:tc>
        <w:tc>
          <w:tcPr>
            <w:tcW w:type="dxa" w:w="289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4"/>
            </w:pPr>
            <w:r>
              <w:rPr/>
              <w:t>Pascal Staccini</w:t>
            </w:r>
          </w:p>
        </w:tc>
      </w:tr>
      <w:tr>
        <w:trPr>
          <w:cantSplit w:val="false"/>
        </w:trPr>
        <w:tc>
          <w:tcPr>
            <w:tcW w:type="dxa" w:w="1813"/>
            <w:tcBorders>
              <w:left w:color="000001" w:space="0" w:sz="2" w:val="single"/>
              <w:bottom w:color="000001" w:space="0" w:sz="2" w:val="single"/>
            </w:tcBorders>
            <w:shd w:fill="FFFFFF" w:val="clear"/>
            <w:tcMar>
              <w:top w:type="dxa" w:w="0"/>
              <w:left w:type="dxa" w:w="108"/>
              <w:bottom w:type="dxa" w:w="0"/>
              <w:right w:type="dxa" w:w="108"/>
            </w:tcMar>
          </w:tcPr>
          <w:p>
            <w:pPr>
              <w:pStyle w:val="style37"/>
              <w:spacing w:after="120" w:before="0"/>
              <w:contextualSpacing w:val="false"/>
            </w:pPr>
            <w:r>
              <w:rPr/>
              <w:t>MAD</w:t>
            </w:r>
          </w:p>
        </w:tc>
        <w:tc>
          <w:tcPr>
            <w:tcW w:type="dxa" w:w="2638"/>
            <w:tcBorders>
              <w:left w:color="000001" w:space="0" w:sz="2" w:val="single"/>
              <w:bottom w:color="000001" w:space="0" w:sz="2" w:val="single"/>
            </w:tcBorders>
            <w:shd w:fill="FFFFFF" w:val="clear"/>
            <w:tcMar>
              <w:top w:type="dxa" w:w="0"/>
              <w:left w:type="dxa" w:w="108"/>
              <w:bottom w:type="dxa" w:w="0"/>
              <w:right w:type="dxa" w:w="108"/>
            </w:tcMar>
          </w:tcPr>
          <w:p>
            <w:pPr>
              <w:pStyle w:val="style44"/>
            </w:pPr>
            <w:r>
              <w:rPr/>
              <w:t>Fabienne Séguret</w:t>
            </w:r>
          </w:p>
        </w:tc>
        <w:tc>
          <w:tcPr>
            <w:tcW w:type="dxa" w:w="2294"/>
            <w:tcBorders>
              <w:left w:color="000001" w:space="0" w:sz="2" w:val="single"/>
              <w:bottom w:color="000001" w:space="0" w:sz="2" w:val="single"/>
            </w:tcBorders>
            <w:shd w:fill="FFFFFF" w:val="clear"/>
            <w:tcMar>
              <w:top w:type="dxa" w:w="0"/>
              <w:left w:type="dxa" w:w="108"/>
              <w:bottom w:type="dxa" w:w="0"/>
              <w:right w:type="dxa" w:w="108"/>
            </w:tcMar>
          </w:tcPr>
          <w:p>
            <w:pPr>
              <w:pStyle w:val="style44"/>
            </w:pPr>
            <w:r>
              <w:rPr/>
              <w:t>Pierre Métral</w:t>
            </w:r>
          </w:p>
        </w:tc>
        <w:tc>
          <w:tcPr>
            <w:tcW w:type="dxa" w:w="289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4"/>
            </w:pPr>
            <w:r>
              <w:rPr/>
              <w:t>Véronique Gilleron</w:t>
            </w:r>
          </w:p>
        </w:tc>
      </w:tr>
      <w:tr>
        <w:trPr>
          <w:cantSplit w:val="false"/>
        </w:trPr>
        <w:tc>
          <w:tcPr>
            <w:tcW w:type="dxa" w:w="1813"/>
            <w:tcBorders>
              <w:left w:color="000001" w:space="0" w:sz="2" w:val="single"/>
              <w:bottom w:color="000001" w:space="0" w:sz="2" w:val="single"/>
            </w:tcBorders>
            <w:shd w:fill="FFFFFF" w:val="clear"/>
            <w:tcMar>
              <w:top w:type="dxa" w:w="0"/>
              <w:left w:type="dxa" w:w="108"/>
              <w:bottom w:type="dxa" w:w="0"/>
              <w:right w:type="dxa" w:w="108"/>
            </w:tcMar>
          </w:tcPr>
          <w:p>
            <w:pPr>
              <w:pStyle w:val="style37"/>
              <w:spacing w:after="120" w:before="0"/>
              <w:contextualSpacing w:val="false"/>
            </w:pPr>
            <w:r>
              <w:rPr/>
              <w:t>CEQURI</w:t>
            </w:r>
          </w:p>
        </w:tc>
        <w:tc>
          <w:tcPr>
            <w:tcW w:type="dxa" w:w="2638"/>
            <w:tcBorders>
              <w:left w:color="000001" w:space="0" w:sz="2" w:val="single"/>
              <w:bottom w:color="000001" w:space="0" w:sz="2" w:val="single"/>
            </w:tcBorders>
            <w:shd w:fill="FFFFFF" w:val="clear"/>
            <w:tcMar>
              <w:top w:type="dxa" w:w="0"/>
              <w:left w:type="dxa" w:w="108"/>
              <w:bottom w:type="dxa" w:w="0"/>
              <w:right w:type="dxa" w:w="108"/>
            </w:tcMar>
          </w:tcPr>
          <w:p>
            <w:pPr>
              <w:pStyle w:val="style44"/>
            </w:pPr>
            <w:r>
              <w:rPr/>
              <w:t>Christophe Segouin</w:t>
            </w:r>
          </w:p>
        </w:tc>
        <w:tc>
          <w:tcPr>
            <w:tcW w:type="dxa" w:w="2294"/>
            <w:tcBorders>
              <w:left w:color="000001" w:space="0" w:sz="2" w:val="single"/>
              <w:bottom w:color="000001" w:space="0" w:sz="2" w:val="single"/>
            </w:tcBorders>
            <w:shd w:fill="FFFFFF" w:val="clear"/>
            <w:tcMar>
              <w:top w:type="dxa" w:w="0"/>
              <w:left w:type="dxa" w:w="108"/>
              <w:bottom w:type="dxa" w:w="0"/>
              <w:right w:type="dxa" w:w="108"/>
            </w:tcMar>
          </w:tcPr>
          <w:p>
            <w:pPr>
              <w:pStyle w:val="style44"/>
            </w:pPr>
            <w:r>
              <w:rPr/>
            </w:r>
          </w:p>
        </w:tc>
        <w:tc>
          <w:tcPr>
            <w:tcW w:type="dxa" w:w="289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4"/>
            </w:pPr>
            <w:r>
              <w:rPr/>
              <w:t>Didier Theis</w:t>
            </w:r>
          </w:p>
        </w:tc>
      </w:tr>
    </w:tbl>
    <w:p>
      <w:pPr>
        <w:pStyle w:val="style37"/>
      </w:pPr>
      <w:r>
        <w:rPr/>
      </w:r>
    </w:p>
    <w:p>
      <w:pPr>
        <w:pStyle w:val="style37"/>
      </w:pPr>
      <w:r>
        <w:rPr/>
        <w:t>État des lieux du fonctionnement des commissions</w:t>
      </w:r>
    </w:p>
    <w:p>
      <w:pPr>
        <w:pStyle w:val="style37"/>
        <w:ind w:hanging="0" w:left="0" w:right="0"/>
      </w:pPr>
      <w:r>
        <w:rPr>
          <w:b/>
          <w:bCs/>
        </w:rPr>
        <w:t xml:space="preserve">RODIM </w:t>
      </w:r>
    </w:p>
    <w:p>
      <w:pPr>
        <w:pStyle w:val="style37"/>
        <w:ind w:hanging="0" w:left="0" w:right="0"/>
      </w:pPr>
      <w:r>
        <w:rPr/>
        <w:t>Bernard Garrigues en cours de constitution de la commission.</w:t>
      </w:r>
    </w:p>
    <w:p>
      <w:pPr>
        <w:pStyle w:val="style37"/>
        <w:ind w:hanging="0" w:left="0" w:right="0"/>
      </w:pPr>
      <w:r>
        <w:rPr/>
        <w:t>répertoire des métiers.</w:t>
      </w:r>
    </w:p>
    <w:p>
      <w:pPr>
        <w:pStyle w:val="style37"/>
        <w:ind w:hanging="0" w:left="0" w:right="0"/>
      </w:pPr>
      <w:r>
        <w:rPr/>
        <w:t>Draft de courrier pour la MEIMMS (le répertoire des métiers).</w:t>
      </w:r>
    </w:p>
    <w:p>
      <w:pPr>
        <w:pStyle w:val="style37"/>
      </w:pPr>
      <w:r>
        <w:rPr>
          <w:b/>
          <w:bCs/>
        </w:rPr>
        <w:t>REF</w:t>
      </w:r>
      <w:r>
        <w:rPr>
          <w:b/>
          <w:bCs/>
          <w:position w:val="14"/>
        </w:rPr>
        <w:t>n</w:t>
      </w:r>
      <w:r>
        <w:rPr>
          <w:b/>
          <w:bCs/>
        </w:rPr>
        <w:t xml:space="preserve"> </w:t>
      </w:r>
    </w:p>
    <w:p>
      <w:pPr>
        <w:pStyle w:val="style37"/>
        <w:ind w:hanging="0" w:left="0" w:right="0"/>
      </w:pPr>
      <w:r>
        <w:rPr/>
        <w:t>Une réunion téléphonique des coordonnateurs a eu lieu. Plusieurs sous-commissions : contrôles T2A (problèmes des référentiels posés lors des contrôles), règles de codage des diagnostics, règles de codage des actes, nomenclatures et classifications. Pas encore de répartition des membres de la commission dans les sous-commissions.</w:t>
      </w:r>
    </w:p>
    <w:p>
      <w:pPr>
        <w:pStyle w:val="style37"/>
        <w:ind w:hanging="0" w:left="0" w:right="0"/>
      </w:pPr>
      <w:r>
        <w:rPr/>
        <w:t>François Dufossez rappelle le sujet des RPU et de son référentiel (par ailleurs déjà obsolète).</w:t>
      </w:r>
    </w:p>
    <w:p>
      <w:pPr>
        <w:pStyle w:val="style37"/>
        <w:ind w:hanging="0" w:left="0" w:right="0"/>
      </w:pPr>
      <w:r>
        <w:rPr/>
        <w:t>Quelle position vis à vis de l'Assurance – maladie ? Travailler sur les « vides juridiques » dans les pratiques de contrôle, sur les activités innovantes (innovations dans la pratique).</w:t>
      </w:r>
    </w:p>
    <w:p>
      <w:pPr>
        <w:pStyle w:val="style37"/>
        <w:ind w:hanging="0" w:left="0" w:right="0"/>
      </w:pPr>
      <w:r>
        <w:rPr/>
        <w:t>Contact à prendre avec les sociétés savantes pour annoncer l'existence des commissions.</w:t>
      </w:r>
    </w:p>
    <w:p>
      <w:pPr>
        <w:pStyle w:val="style37"/>
        <w:ind w:hanging="0" w:left="0" w:right="0"/>
      </w:pPr>
      <w:r>
        <w:rPr/>
        <w:t xml:space="preserve">Rôle de la SoFIME dans les recommandations </w:t>
      </w:r>
    </w:p>
    <w:p>
      <w:pPr>
        <w:pStyle w:val="style37"/>
        <w:ind w:hanging="0" w:left="0" w:right="0"/>
      </w:pPr>
      <w:r>
        <w:rPr/>
        <w:t>Les coordonnateurs s'interrogent à propos des liens avec les autres commissions.</w:t>
      </w:r>
    </w:p>
    <w:p>
      <w:pPr>
        <w:pStyle w:val="style37"/>
      </w:pPr>
      <w:r>
        <w:rPr>
          <w:b/>
          <w:bCs/>
        </w:rPr>
        <w:t>FORM (10)</w:t>
      </w:r>
    </w:p>
    <w:p>
      <w:pPr>
        <w:pStyle w:val="style37"/>
      </w:pPr>
      <w:r>
        <w:rPr/>
        <w:t>Objectifs de départ fixés par les coordonnateurs (Emmanuel Rusch et Jérôme Fauconnier).</w:t>
      </w:r>
    </w:p>
    <w:p>
      <w:pPr>
        <w:pStyle w:val="style37"/>
      </w:pPr>
      <w:r>
        <w:rPr/>
        <w:t>Guide DPC pour les DIM</w:t>
      </w:r>
    </w:p>
    <w:p>
      <w:pPr>
        <w:pStyle w:val="style37"/>
      </w:pPr>
      <w:r>
        <w:rPr/>
        <w:t xml:space="preserve">Annuaire des formations initiales et continues pour les DIM </w:t>
      </w:r>
    </w:p>
    <w:p>
      <w:pPr>
        <w:pStyle w:val="style37"/>
      </w:pPr>
      <w:r>
        <w:rPr/>
        <w:t>formation initiale des DIM</w:t>
      </w:r>
    </w:p>
    <w:p>
      <w:pPr>
        <w:pStyle w:val="style37"/>
      </w:pPr>
      <w:r>
        <w:rPr/>
        <w:t>formation continue des DIM</w:t>
      </w:r>
    </w:p>
    <w:p>
      <w:pPr>
        <w:pStyle w:val="style37"/>
      </w:pPr>
      <w:r>
        <w:rPr/>
        <w:t>formation des TIM  : le CA rappelle que la SoFIME pourra traiter ce sujet ultérieuremen</w:t>
      </w:r>
      <w:r>
        <w:rPr/>
        <w:t>t (enseignement à distance).</w:t>
      </w:r>
    </w:p>
    <w:p>
      <w:pPr>
        <w:pStyle w:val="style37"/>
      </w:pPr>
      <w:r>
        <w:rPr>
          <w:b/>
          <w:bCs/>
        </w:rPr>
        <w:t xml:space="preserve">CONF (9) </w:t>
      </w:r>
    </w:p>
    <w:p>
      <w:pPr>
        <w:pStyle w:val="style37"/>
      </w:pPr>
      <w:r>
        <w:rPr/>
        <w:t>Éric Pradat contacte Gilles Madelon pour monter la commission.</w:t>
      </w:r>
    </w:p>
    <w:p>
      <w:pPr>
        <w:pStyle w:val="style37"/>
      </w:pPr>
      <w:r>
        <w:rPr>
          <w:b/>
          <w:bCs/>
        </w:rPr>
        <w:t xml:space="preserve">DPI (10) </w:t>
      </w:r>
    </w:p>
    <w:p>
      <w:pPr>
        <w:pStyle w:val="style37"/>
      </w:pPr>
      <w:r>
        <w:rPr/>
        <w:t>Éric Lepage en cours de structuration de la commission.</w:t>
      </w:r>
    </w:p>
    <w:p>
      <w:pPr>
        <w:pStyle w:val="style37"/>
      </w:pPr>
      <w:r>
        <w:rPr>
          <w:b/>
          <w:bCs/>
        </w:rPr>
        <w:t>MAD (29)</w:t>
      </w:r>
    </w:p>
    <w:p>
      <w:pPr>
        <w:pStyle w:val="style37"/>
      </w:pPr>
      <w:r>
        <w:rPr/>
        <w:t>Un diaporama préparé par Fabienne Séguret et Pierre Métral.</w:t>
      </w:r>
    </w:p>
    <w:p>
      <w:pPr>
        <w:pStyle w:val="style37"/>
      </w:pPr>
      <w:r>
        <w:rPr/>
        <w:t>Questions sur la composition des sous-commissions.</w:t>
      </w:r>
    </w:p>
    <w:p>
      <w:pPr>
        <w:pStyle w:val="style37"/>
      </w:pPr>
      <w:r>
        <w:rPr>
          <w:b/>
          <w:bCs/>
        </w:rPr>
        <w:t>CERTIF (7)</w:t>
      </w:r>
    </w:p>
    <w:p>
      <w:pPr>
        <w:pStyle w:val="style37"/>
      </w:pPr>
      <w:r>
        <w:rPr/>
        <w:t>Gabriel Nisand informe Christophe Segouin du rôle qui lui est confié par le CA.</w:t>
      </w:r>
    </w:p>
    <w:p>
      <w:pPr>
        <w:pStyle w:val="style37"/>
      </w:pPr>
      <w:r>
        <w:rPr/>
      </w:r>
    </w:p>
    <w:p>
      <w:pPr>
        <w:pStyle w:val="style2"/>
        <w:numPr>
          <w:ilvl w:val="1"/>
          <w:numId w:val="3"/>
        </w:numPr>
        <w:jc w:val="left"/>
      </w:pPr>
      <w:r>
        <w:rPr/>
        <w:t>Questions logistiques</w:t>
      </w:r>
    </w:p>
    <w:p>
      <w:pPr>
        <w:pStyle w:val="style37"/>
        <w:numPr>
          <w:ilvl w:val="0"/>
          <w:numId w:val="5"/>
        </w:numPr>
      </w:pPr>
      <w:r>
        <w:rPr/>
        <w:t xml:space="preserve">Organisation des réunions téléphoniques et des vidéoconférences : quels moyens techniques et quel budget ? </w:t>
      </w:r>
    </w:p>
    <w:p>
      <w:pPr>
        <w:pStyle w:val="style37"/>
        <w:numPr>
          <w:ilvl w:val="0"/>
          <w:numId w:val="5"/>
        </w:numPr>
      </w:pPr>
      <w:r>
        <w:rPr/>
        <w:t>Dresser une typologie de la production de la SoFIME (à réaliser par le bureau/CA)</w:t>
      </w:r>
    </w:p>
    <w:p>
      <w:pPr>
        <w:pStyle w:val="style37"/>
        <w:numPr>
          <w:ilvl w:val="0"/>
          <w:numId w:val="5"/>
        </w:numPr>
      </w:pPr>
      <w:r>
        <w:rPr>
          <w:sz w:val="24"/>
        </w:rPr>
        <w:t>S</w:t>
      </w:r>
      <w:r>
        <w:rPr>
          <w:sz w:val="24"/>
        </w:rPr>
        <w:t>andrine C</w:t>
      </w:r>
      <w:r>
        <w:rPr>
          <w:sz w:val="24"/>
        </w:rPr>
        <w:t>ouray</w:t>
      </w:r>
      <w:r>
        <w:rPr>
          <w:sz w:val="24"/>
        </w:rPr>
        <w:t>-T</w:t>
      </w:r>
      <w:r>
        <w:rPr>
          <w:sz w:val="24"/>
        </w:rPr>
        <w:t xml:space="preserve">arge </w:t>
      </w:r>
      <w:r>
        <w:rPr>
          <w:sz w:val="24"/>
        </w:rPr>
        <w:t xml:space="preserve">(HCL) </w:t>
      </w:r>
      <w:r>
        <w:rPr>
          <w:sz w:val="24"/>
        </w:rPr>
        <w:t xml:space="preserve">prepare </w:t>
      </w:r>
      <w:r>
        <w:rPr>
          <w:sz w:val="24"/>
        </w:rPr>
        <w:t xml:space="preserve">une </w:t>
      </w:r>
      <w:r>
        <w:rPr>
          <w:sz w:val="24"/>
        </w:rPr>
        <w:t xml:space="preserve">proposition de logo et </w:t>
      </w:r>
      <w:r>
        <w:rPr>
          <w:sz w:val="24"/>
        </w:rPr>
        <w:t xml:space="preserve">de </w:t>
      </w:r>
      <w:r>
        <w:rPr>
          <w:sz w:val="24"/>
        </w:rPr>
        <w:t>charte graphique</w:t>
      </w:r>
    </w:p>
    <w:p>
      <w:pPr>
        <w:pStyle w:val="style2"/>
        <w:numPr>
          <w:ilvl w:val="1"/>
          <w:numId w:val="3"/>
        </w:numPr>
        <w:jc w:val="left"/>
      </w:pPr>
      <w:r>
        <w:rPr/>
        <w:t xml:space="preserve">Communication </w:t>
      </w:r>
    </w:p>
    <w:p>
      <w:pPr>
        <w:pStyle w:val="style37"/>
        <w:numPr>
          <w:ilvl w:val="0"/>
          <w:numId w:val="6"/>
        </w:numPr>
      </w:pPr>
      <w:r>
        <w:rPr/>
        <w:t>site web : on évoque deux pistes. 1 – un outil ouvert que Stéphane Quesnot utilise, 2 – on sollicite Gilles Madelon.</w:t>
      </w:r>
    </w:p>
    <w:p>
      <w:pPr>
        <w:pStyle w:val="style37"/>
        <w:numPr>
          <w:ilvl w:val="0"/>
          <w:numId w:val="6"/>
        </w:numPr>
      </w:pPr>
      <w:r>
        <w:rPr/>
        <w:t>Informer la fédération des sociétés savantes.</w:t>
      </w:r>
    </w:p>
    <w:p>
      <w:pPr>
        <w:pStyle w:val="style37"/>
        <w:numPr>
          <w:ilvl w:val="0"/>
          <w:numId w:val="6"/>
        </w:numPr>
      </w:pPr>
      <w:r>
        <w:rPr/>
        <w:t xml:space="preserve">Séminaire ENCc : Flash info sur la SoFIME </w:t>
      </w:r>
    </w:p>
    <w:p>
      <w:pPr>
        <w:pStyle w:val="style37"/>
        <w:numPr>
          <w:ilvl w:val="0"/>
          <w:numId w:val="6"/>
        </w:numPr>
      </w:pPr>
      <w:r>
        <w:rPr/>
        <w:t xml:space="preserve">cartographie des adhérents (Namik </w:t>
      </w:r>
      <w:r>
        <w:rPr/>
        <w:t>pour prochain CA</w:t>
      </w:r>
      <w:r>
        <w:rPr/>
        <w:t>)</w:t>
      </w:r>
    </w:p>
    <w:p>
      <w:pPr>
        <w:pStyle w:val="style37"/>
        <w:jc w:val="left"/>
      </w:pPr>
      <w:r>
        <w:rPr/>
      </w:r>
    </w:p>
    <w:p>
      <w:pPr>
        <w:pStyle w:val="style2"/>
        <w:numPr>
          <w:ilvl w:val="1"/>
          <w:numId w:val="3"/>
        </w:numPr>
        <w:jc w:val="left"/>
      </w:pPr>
      <w:r>
        <w:rPr/>
        <w:t xml:space="preserve">question </w:t>
      </w:r>
      <w:r>
        <w:rPr/>
        <w:t>additionnelle</w:t>
      </w:r>
    </w:p>
    <w:p>
      <w:pPr>
        <w:pStyle w:val="style37"/>
      </w:pPr>
      <w:r>
        <w:rPr/>
        <w:t>La conférence des DG de CHU a interrogé Gabriel sur le recours aux sociétés externes de recodage (courriers CNOM de fin juillet et CNIL aujourd'hui).</w:t>
      </w:r>
    </w:p>
    <w:p>
      <w:pPr>
        <w:pStyle w:val="style2"/>
        <w:numPr>
          <w:ilvl w:val="1"/>
          <w:numId w:val="4"/>
        </w:numPr>
      </w:pPr>
      <w:r>
        <w:rPr/>
        <w:t>Prochaines réunions</w:t>
      </w:r>
    </w:p>
    <w:p>
      <w:pPr>
        <w:pStyle w:val="style37"/>
      </w:pPr>
      <w:r>
        <w:rPr/>
        <w:t>Programmer la prochaine réunion du CA (et des  coordonnateurs de commissions)</w:t>
      </w:r>
    </w:p>
    <w:p>
      <w:pPr>
        <w:pStyle w:val="style37"/>
      </w:pPr>
      <w:r>
        <w:rPr/>
        <w:t>Pierre Métral propose une AG au printemps 2014.</w:t>
      </w:r>
    </w:p>
    <w:p>
      <w:pPr>
        <w:pStyle w:val="style37"/>
      </w:pPr>
      <w:r>
        <w:rPr/>
      </w:r>
    </w:p>
    <w:p>
      <w:pPr>
        <w:pStyle w:val="style37"/>
      </w:pPr>
      <w:r>
        <w:rPr/>
      </w:r>
    </w:p>
    <w:p>
      <w:pPr>
        <w:pStyle w:val="style2"/>
        <w:widowControl w:val="false"/>
        <w:numPr>
          <w:ilvl w:val="1"/>
          <w:numId w:val="2"/>
        </w:numPr>
        <w:tabs/>
        <w:suppressAutoHyphens w:val="true"/>
        <w:overflowPunct w:val="false"/>
        <w:spacing w:after="120" w:before="240"/>
        <w:contextualSpacing w:val="false"/>
        <w:jc w:val="center"/>
      </w:pPr>
      <w:r>
        <w:rPr/>
      </w:r>
    </w:p>
    <w:p>
      <w:pPr>
        <w:pStyle w:val="style37"/>
        <w:pageBreakBefore/>
        <w:spacing w:after="120" w:before="240"/>
        <w:contextualSpacing w:val="false"/>
      </w:pPr>
      <w:r>
        <w:rPr/>
        <w:t>Liste de nouveaux adhérents depuis le précédent CA</w:t>
      </w:r>
    </w:p>
    <w:p>
      <w:pPr>
        <w:pStyle w:val="style37"/>
        <w:spacing w:after="120" w:before="240"/>
        <w:contextualSpacing w:val="false"/>
      </w:pPr>
      <w:r>
        <w:rPr/>
      </w:r>
    </w:p>
    <w:tbl>
      <w:tblPr>
        <w:jc w:val="left"/>
        <w:tblInd w:type="dxa" w:w="-245"/>
        <w:tblBorders>
          <w:top w:color="000001" w:space="0" w:sz="2" w:val="single"/>
          <w:left w:color="000001" w:space="0" w:sz="2" w:val="single"/>
          <w:bottom w:color="000001" w:space="0" w:sz="2" w:val="single"/>
        </w:tblBorders>
      </w:tblPr>
      <w:tblGrid>
        <w:gridCol w:w="1157"/>
        <w:gridCol w:w="1515"/>
        <w:gridCol w:w="2892"/>
        <w:gridCol w:w="3503"/>
      </w:tblGrid>
      <w:tr>
        <w:trPr>
          <w:trHeight w:hRule="atLeast" w:val="290"/>
          <w:cantSplit w:val="false"/>
        </w:trPr>
        <w:tc>
          <w:tcPr>
            <w:tcW w:type="dxa" w:w="1157"/>
            <w:tcBorders>
              <w:top w:color="000001" w:space="0" w:sz="2" w:val="single"/>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Madame</w:t>
            </w:r>
          </w:p>
        </w:tc>
        <w:tc>
          <w:tcPr>
            <w:tcW w:type="dxa" w:w="1515"/>
            <w:tcBorders>
              <w:top w:color="000001" w:space="0" w:sz="2" w:val="single"/>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Edith</w:t>
            </w:r>
          </w:p>
        </w:tc>
        <w:tc>
          <w:tcPr>
            <w:tcW w:type="dxa" w:w="2892"/>
            <w:tcBorders>
              <w:top w:color="000001" w:space="0" w:sz="2" w:val="single"/>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DROUMAGUET</w:t>
            </w:r>
          </w:p>
        </w:tc>
        <w:tc>
          <w:tcPr>
            <w:tcW w:type="dxa" w:w="3503"/>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vAlign w:val="bottom"/>
          </w:tcPr>
          <w:p>
            <w:pPr>
              <w:pStyle w:val="style0"/>
              <w:jc w:val="left"/>
            </w:pPr>
            <w:r>
              <w:rPr/>
              <w:t>edroumaguet@ch-lannion.fr</w:t>
            </w:r>
          </w:p>
        </w:tc>
      </w:tr>
      <w:tr>
        <w:trPr>
          <w:trHeight w:hRule="atLeast" w:val="290"/>
          <w:cantSplit w:val="false"/>
        </w:trPr>
        <w:tc>
          <w:tcPr>
            <w:tcW w:type="dxa" w:w="1157"/>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Monsieur</w:t>
            </w:r>
          </w:p>
        </w:tc>
        <w:tc>
          <w:tcPr>
            <w:tcW w:type="dxa" w:w="1515"/>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Jean</w:t>
            </w:r>
          </w:p>
        </w:tc>
        <w:tc>
          <w:tcPr>
            <w:tcW w:type="dxa" w:w="2892"/>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COLOTTE</w:t>
            </w:r>
          </w:p>
        </w:tc>
        <w:tc>
          <w:tcPr>
            <w:tcW w:type="dxa" w:w="3503"/>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bottom"/>
          </w:tcPr>
          <w:p>
            <w:pPr>
              <w:pStyle w:val="style0"/>
              <w:jc w:val="left"/>
            </w:pPr>
            <w:r>
              <w:rPr/>
              <w:t>jean.colotte@orange.fr</w:t>
            </w:r>
          </w:p>
        </w:tc>
      </w:tr>
      <w:tr>
        <w:trPr>
          <w:trHeight w:hRule="atLeast" w:val="290"/>
          <w:cantSplit w:val="false"/>
        </w:trPr>
        <w:tc>
          <w:tcPr>
            <w:tcW w:type="dxa" w:w="1157"/>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Monsieur</w:t>
            </w:r>
          </w:p>
        </w:tc>
        <w:tc>
          <w:tcPr>
            <w:tcW w:type="dxa" w:w="1515"/>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Jean-françois</w:t>
            </w:r>
          </w:p>
        </w:tc>
        <w:tc>
          <w:tcPr>
            <w:tcW w:type="dxa" w:w="2892"/>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BOKAN</w:t>
            </w:r>
          </w:p>
        </w:tc>
        <w:tc>
          <w:tcPr>
            <w:tcW w:type="dxa" w:w="3503"/>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bottom"/>
          </w:tcPr>
          <w:p>
            <w:pPr>
              <w:pStyle w:val="style0"/>
              <w:jc w:val="left"/>
            </w:pPr>
            <w:r>
              <w:rPr/>
              <w:t>jf.bokan@ch-pontarlier.fr</w:t>
            </w:r>
          </w:p>
        </w:tc>
      </w:tr>
      <w:tr>
        <w:trPr>
          <w:trHeight w:hRule="atLeast" w:val="290"/>
          <w:cantSplit w:val="false"/>
        </w:trPr>
        <w:tc>
          <w:tcPr>
            <w:tcW w:type="dxa" w:w="1157"/>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Madame</w:t>
            </w:r>
          </w:p>
        </w:tc>
        <w:tc>
          <w:tcPr>
            <w:tcW w:type="dxa" w:w="1515"/>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Sfaya</w:t>
            </w:r>
          </w:p>
        </w:tc>
        <w:tc>
          <w:tcPr>
            <w:tcW w:type="dxa" w:w="2892"/>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UZAN</w:t>
            </w:r>
          </w:p>
        </w:tc>
        <w:tc>
          <w:tcPr>
            <w:tcW w:type="dxa" w:w="3503"/>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bottom"/>
          </w:tcPr>
          <w:p>
            <w:pPr>
              <w:pStyle w:val="style0"/>
              <w:jc w:val="left"/>
            </w:pPr>
            <w:r>
              <w:rPr/>
              <w:t>s.kouidri@isc84.org</w:t>
            </w:r>
          </w:p>
        </w:tc>
      </w:tr>
      <w:tr>
        <w:trPr>
          <w:trHeight w:hRule="atLeast" w:val="290"/>
          <w:cantSplit w:val="false"/>
        </w:trPr>
        <w:tc>
          <w:tcPr>
            <w:tcW w:type="dxa" w:w="1157"/>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Monsieur</w:t>
            </w:r>
          </w:p>
        </w:tc>
        <w:tc>
          <w:tcPr>
            <w:tcW w:type="dxa" w:w="1515"/>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Xavier</w:t>
            </w:r>
          </w:p>
        </w:tc>
        <w:tc>
          <w:tcPr>
            <w:tcW w:type="dxa" w:w="2892"/>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COURTOIS</w:t>
            </w:r>
          </w:p>
        </w:tc>
        <w:tc>
          <w:tcPr>
            <w:tcW w:type="dxa" w:w="3503"/>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bottom"/>
          </w:tcPr>
          <w:p>
            <w:pPr>
              <w:pStyle w:val="style0"/>
              <w:jc w:val="left"/>
            </w:pPr>
            <w:r>
              <w:rPr/>
              <w:t>xcourtois@ch-annecy.fr</w:t>
            </w:r>
          </w:p>
        </w:tc>
      </w:tr>
      <w:tr>
        <w:trPr>
          <w:trHeight w:hRule="atLeast" w:val="290"/>
          <w:cantSplit w:val="false"/>
        </w:trPr>
        <w:tc>
          <w:tcPr>
            <w:tcW w:type="dxa" w:w="1157"/>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Madame</w:t>
            </w:r>
          </w:p>
        </w:tc>
        <w:tc>
          <w:tcPr>
            <w:tcW w:type="dxa" w:w="1515"/>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Véronique</w:t>
            </w:r>
          </w:p>
        </w:tc>
        <w:tc>
          <w:tcPr>
            <w:tcW w:type="dxa" w:w="2892"/>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FONTAINE</w:t>
            </w:r>
          </w:p>
        </w:tc>
        <w:tc>
          <w:tcPr>
            <w:tcW w:type="dxa" w:w="3503"/>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bottom"/>
          </w:tcPr>
          <w:p>
            <w:pPr>
              <w:pStyle w:val="style0"/>
              <w:jc w:val="left"/>
            </w:pPr>
            <w:r>
              <w:rPr/>
              <w:t>vfontaine@ch-lens.fr</w:t>
            </w:r>
          </w:p>
        </w:tc>
      </w:tr>
      <w:tr>
        <w:trPr>
          <w:trHeight w:hRule="atLeast" w:val="290"/>
          <w:cantSplit w:val="false"/>
        </w:trPr>
        <w:tc>
          <w:tcPr>
            <w:tcW w:type="dxa" w:w="1157"/>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Monsieur</w:t>
            </w:r>
          </w:p>
        </w:tc>
        <w:tc>
          <w:tcPr>
            <w:tcW w:type="dxa" w:w="1515"/>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Christophe</w:t>
            </w:r>
          </w:p>
        </w:tc>
        <w:tc>
          <w:tcPr>
            <w:tcW w:type="dxa" w:w="2892"/>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BESSAGUET</w:t>
            </w:r>
          </w:p>
        </w:tc>
        <w:tc>
          <w:tcPr>
            <w:tcW w:type="dxa" w:w="3503"/>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bottom"/>
          </w:tcPr>
          <w:p>
            <w:pPr>
              <w:pStyle w:val="style0"/>
              <w:jc w:val="left"/>
            </w:pPr>
            <w:r>
              <w:rPr/>
              <w:t>c.bessaguet@ch-cornouaille.fr</w:t>
            </w:r>
          </w:p>
        </w:tc>
      </w:tr>
      <w:tr>
        <w:trPr>
          <w:trHeight w:hRule="atLeast" w:val="290"/>
          <w:cantSplit w:val="false"/>
        </w:trPr>
        <w:tc>
          <w:tcPr>
            <w:tcW w:type="dxa" w:w="1157"/>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Monsieur</w:t>
            </w:r>
          </w:p>
        </w:tc>
        <w:tc>
          <w:tcPr>
            <w:tcW w:type="dxa" w:w="1515"/>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Saada</w:t>
            </w:r>
          </w:p>
        </w:tc>
        <w:tc>
          <w:tcPr>
            <w:tcW w:type="dxa" w:w="2892"/>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CHOUGRANI</w:t>
            </w:r>
          </w:p>
        </w:tc>
        <w:tc>
          <w:tcPr>
            <w:tcW w:type="dxa" w:w="3503"/>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bottom"/>
          </w:tcPr>
          <w:p>
            <w:pPr>
              <w:pStyle w:val="style0"/>
              <w:jc w:val="left"/>
            </w:pPr>
            <w:r>
              <w:rPr/>
              <w:t>saada.chougrani@gmail.com</w:t>
            </w:r>
          </w:p>
        </w:tc>
      </w:tr>
      <w:tr>
        <w:trPr>
          <w:trHeight w:hRule="atLeast" w:val="290"/>
          <w:cantSplit w:val="false"/>
        </w:trPr>
        <w:tc>
          <w:tcPr>
            <w:tcW w:type="dxa" w:w="1157"/>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Monsieur</w:t>
            </w:r>
          </w:p>
        </w:tc>
        <w:tc>
          <w:tcPr>
            <w:tcW w:type="dxa" w:w="1515"/>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Michel</w:t>
            </w:r>
          </w:p>
        </w:tc>
        <w:tc>
          <w:tcPr>
            <w:tcW w:type="dxa" w:w="2892"/>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GRAND-JEAN</w:t>
            </w:r>
          </w:p>
        </w:tc>
        <w:tc>
          <w:tcPr>
            <w:tcW w:type="dxa" w:w="3503"/>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bottom"/>
          </w:tcPr>
          <w:p>
            <w:pPr>
              <w:pStyle w:val="style0"/>
              <w:jc w:val="left"/>
            </w:pPr>
            <w:r>
              <w:rPr/>
              <w:t>michel.grand-jean@epsm-caen.fr</w:t>
            </w:r>
          </w:p>
        </w:tc>
      </w:tr>
      <w:tr>
        <w:trPr>
          <w:trHeight w:hRule="atLeast" w:val="290"/>
          <w:cantSplit w:val="false"/>
        </w:trPr>
        <w:tc>
          <w:tcPr>
            <w:tcW w:type="dxa" w:w="1157"/>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Madame</w:t>
            </w:r>
          </w:p>
        </w:tc>
        <w:tc>
          <w:tcPr>
            <w:tcW w:type="dxa" w:w="1515"/>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Agnès</w:t>
            </w:r>
          </w:p>
        </w:tc>
        <w:tc>
          <w:tcPr>
            <w:tcW w:type="dxa" w:w="2892"/>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LOEB</w:t>
            </w:r>
          </w:p>
        </w:tc>
        <w:tc>
          <w:tcPr>
            <w:tcW w:type="dxa" w:w="3503"/>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bottom"/>
          </w:tcPr>
          <w:p>
            <w:pPr>
              <w:pStyle w:val="style0"/>
              <w:jc w:val="left"/>
            </w:pPr>
            <w:r>
              <w:rPr/>
              <w:t xml:space="preserve"> </w:t>
            </w:r>
          </w:p>
        </w:tc>
      </w:tr>
      <w:tr>
        <w:trPr>
          <w:trHeight w:hRule="atLeast" w:val="290"/>
          <w:cantSplit w:val="false"/>
        </w:trPr>
        <w:tc>
          <w:tcPr>
            <w:tcW w:type="dxa" w:w="1157"/>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Madame</w:t>
            </w:r>
          </w:p>
        </w:tc>
        <w:tc>
          <w:tcPr>
            <w:tcW w:type="dxa" w:w="1515"/>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Martine</w:t>
            </w:r>
          </w:p>
        </w:tc>
        <w:tc>
          <w:tcPr>
            <w:tcW w:type="dxa" w:w="2892"/>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CACHERA BERTOLOTTI</w:t>
            </w:r>
          </w:p>
        </w:tc>
        <w:tc>
          <w:tcPr>
            <w:tcW w:type="dxa" w:w="3503"/>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bottom"/>
          </w:tcPr>
          <w:p>
            <w:pPr>
              <w:pStyle w:val="style0"/>
              <w:jc w:val="left"/>
            </w:pPr>
            <w:r>
              <w:rPr/>
              <w:t>martine.cachera@ch-bethune.fr</w:t>
            </w:r>
          </w:p>
        </w:tc>
      </w:tr>
      <w:tr>
        <w:trPr>
          <w:trHeight w:hRule="atLeast" w:val="290"/>
          <w:cantSplit w:val="false"/>
        </w:trPr>
        <w:tc>
          <w:tcPr>
            <w:tcW w:type="dxa" w:w="1157"/>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Madame</w:t>
            </w:r>
          </w:p>
        </w:tc>
        <w:tc>
          <w:tcPr>
            <w:tcW w:type="dxa" w:w="1515"/>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Anne-sophie</w:t>
            </w:r>
          </w:p>
        </w:tc>
        <w:tc>
          <w:tcPr>
            <w:tcW w:type="dxa" w:w="2892"/>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LOT</w:t>
            </w:r>
          </w:p>
        </w:tc>
        <w:tc>
          <w:tcPr>
            <w:tcW w:type="dxa" w:w="3503"/>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bottom"/>
          </w:tcPr>
          <w:p>
            <w:pPr>
              <w:pStyle w:val="style0"/>
              <w:jc w:val="left"/>
            </w:pPr>
            <w:r>
              <w:rPr/>
              <w:t>annesophie.lot@gmail.com</w:t>
            </w:r>
          </w:p>
        </w:tc>
      </w:tr>
      <w:tr>
        <w:trPr>
          <w:trHeight w:hRule="atLeast" w:val="290"/>
          <w:cantSplit w:val="false"/>
        </w:trPr>
        <w:tc>
          <w:tcPr>
            <w:tcW w:type="dxa" w:w="1157"/>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Madame</w:t>
            </w:r>
          </w:p>
        </w:tc>
        <w:tc>
          <w:tcPr>
            <w:tcW w:type="dxa" w:w="1515"/>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Isabelle</w:t>
            </w:r>
          </w:p>
        </w:tc>
        <w:tc>
          <w:tcPr>
            <w:tcW w:type="dxa" w:w="2892"/>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JAISSON-HOT</w:t>
            </w:r>
          </w:p>
        </w:tc>
        <w:tc>
          <w:tcPr>
            <w:tcW w:type="dxa" w:w="3503"/>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bottom"/>
          </w:tcPr>
          <w:p>
            <w:pPr>
              <w:pStyle w:val="style0"/>
              <w:jc w:val="left"/>
            </w:pPr>
            <w:r>
              <w:rPr/>
              <w:t>isabelle.jaisson-hot@chu-lyon.fr</w:t>
            </w:r>
          </w:p>
        </w:tc>
      </w:tr>
      <w:tr>
        <w:trPr>
          <w:trHeight w:hRule="atLeast" w:val="290"/>
          <w:cantSplit w:val="false"/>
        </w:trPr>
        <w:tc>
          <w:tcPr>
            <w:tcW w:type="dxa" w:w="1157"/>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Madame</w:t>
            </w:r>
          </w:p>
        </w:tc>
        <w:tc>
          <w:tcPr>
            <w:tcW w:type="dxa" w:w="1515"/>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Christine</w:t>
            </w:r>
          </w:p>
        </w:tc>
        <w:tc>
          <w:tcPr>
            <w:tcW w:type="dxa" w:w="2892"/>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RIOU</w:t>
            </w:r>
          </w:p>
        </w:tc>
        <w:tc>
          <w:tcPr>
            <w:tcW w:type="dxa" w:w="3503"/>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bottom"/>
          </w:tcPr>
          <w:p>
            <w:pPr>
              <w:pStyle w:val="style0"/>
              <w:jc w:val="left"/>
            </w:pPr>
            <w:r>
              <w:rPr/>
              <w:t>christine.riou@chu-rennes.fr</w:t>
            </w:r>
          </w:p>
        </w:tc>
      </w:tr>
      <w:tr>
        <w:trPr>
          <w:trHeight w:hRule="atLeast" w:val="290"/>
          <w:cantSplit w:val="false"/>
        </w:trPr>
        <w:tc>
          <w:tcPr>
            <w:tcW w:type="dxa" w:w="1157"/>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Madame</w:t>
            </w:r>
          </w:p>
        </w:tc>
        <w:tc>
          <w:tcPr>
            <w:tcW w:type="dxa" w:w="1515"/>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Dominique</w:t>
            </w:r>
          </w:p>
        </w:tc>
        <w:tc>
          <w:tcPr>
            <w:tcW w:type="dxa" w:w="2892"/>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TIENNOT</w:t>
            </w:r>
          </w:p>
        </w:tc>
        <w:tc>
          <w:tcPr>
            <w:tcW w:type="dxa" w:w="3503"/>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bottom"/>
          </w:tcPr>
          <w:p>
            <w:pPr>
              <w:pStyle w:val="style0"/>
              <w:jc w:val="left"/>
            </w:pPr>
            <w:r>
              <w:rPr/>
              <w:t>dtiennot@ch-morlaix.fr</w:t>
            </w:r>
          </w:p>
        </w:tc>
      </w:tr>
      <w:tr>
        <w:trPr>
          <w:trHeight w:hRule="atLeast" w:val="290"/>
          <w:cantSplit w:val="false"/>
        </w:trPr>
        <w:tc>
          <w:tcPr>
            <w:tcW w:type="dxa" w:w="1157"/>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Monsieur</w:t>
            </w:r>
          </w:p>
        </w:tc>
        <w:tc>
          <w:tcPr>
            <w:tcW w:type="dxa" w:w="1515"/>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Michel</w:t>
            </w:r>
          </w:p>
        </w:tc>
        <w:tc>
          <w:tcPr>
            <w:tcW w:type="dxa" w:w="2892"/>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LEHMANN</w:t>
            </w:r>
          </w:p>
        </w:tc>
        <w:tc>
          <w:tcPr>
            <w:tcW w:type="dxa" w:w="3503"/>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bottom"/>
          </w:tcPr>
          <w:p>
            <w:pPr>
              <w:pStyle w:val="style0"/>
              <w:jc w:val="left"/>
            </w:pPr>
            <w:r>
              <w:rPr/>
              <w:t>mlehmann.pro@gmail.com</w:t>
            </w:r>
          </w:p>
        </w:tc>
      </w:tr>
      <w:tr>
        <w:trPr>
          <w:trHeight w:hRule="atLeast" w:val="290"/>
          <w:cantSplit w:val="false"/>
        </w:trPr>
        <w:tc>
          <w:tcPr>
            <w:tcW w:type="dxa" w:w="1157"/>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Monsieur</w:t>
            </w:r>
          </w:p>
        </w:tc>
        <w:tc>
          <w:tcPr>
            <w:tcW w:type="dxa" w:w="1515"/>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Cyrille</w:t>
            </w:r>
          </w:p>
        </w:tc>
        <w:tc>
          <w:tcPr>
            <w:tcW w:type="dxa" w:w="2892"/>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COLIN</w:t>
            </w:r>
          </w:p>
        </w:tc>
        <w:tc>
          <w:tcPr>
            <w:tcW w:type="dxa" w:w="3503"/>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bottom"/>
          </w:tcPr>
          <w:p>
            <w:pPr>
              <w:pStyle w:val="style0"/>
              <w:jc w:val="left"/>
            </w:pPr>
            <w:r>
              <w:rPr/>
              <w:t>cyrille.colin@chu-lyon.fr</w:t>
            </w:r>
          </w:p>
        </w:tc>
      </w:tr>
      <w:tr>
        <w:trPr>
          <w:trHeight w:hRule="atLeast" w:val="290"/>
          <w:cantSplit w:val="false"/>
        </w:trPr>
        <w:tc>
          <w:tcPr>
            <w:tcW w:type="dxa" w:w="1157"/>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Madame</w:t>
            </w:r>
          </w:p>
        </w:tc>
        <w:tc>
          <w:tcPr>
            <w:tcW w:type="dxa" w:w="1515"/>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Sophie</w:t>
            </w:r>
          </w:p>
        </w:tc>
        <w:tc>
          <w:tcPr>
            <w:tcW w:type="dxa" w:w="2892"/>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BEAUFIGEAU-PULCI</w:t>
            </w:r>
          </w:p>
        </w:tc>
        <w:tc>
          <w:tcPr>
            <w:tcW w:type="dxa" w:w="3503"/>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bottom"/>
          </w:tcPr>
          <w:p>
            <w:pPr>
              <w:pStyle w:val="style0"/>
              <w:jc w:val="left"/>
            </w:pPr>
            <w:r>
              <w:rPr/>
              <w:t>sophie.pulci@orange.fr</w:t>
            </w:r>
          </w:p>
        </w:tc>
      </w:tr>
      <w:tr>
        <w:trPr>
          <w:trHeight w:hRule="atLeast" w:val="290"/>
          <w:cantSplit w:val="false"/>
        </w:trPr>
        <w:tc>
          <w:tcPr>
            <w:tcW w:type="dxa" w:w="1157"/>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Madame</w:t>
            </w:r>
          </w:p>
        </w:tc>
        <w:tc>
          <w:tcPr>
            <w:tcW w:type="dxa" w:w="1515"/>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Stéphanie</w:t>
            </w:r>
          </w:p>
        </w:tc>
        <w:tc>
          <w:tcPr>
            <w:tcW w:type="dxa" w:w="2892"/>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PATY</w:t>
            </w:r>
          </w:p>
        </w:tc>
        <w:tc>
          <w:tcPr>
            <w:tcW w:type="dxa" w:w="3503"/>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bottom"/>
          </w:tcPr>
          <w:p>
            <w:pPr>
              <w:pStyle w:val="style0"/>
              <w:jc w:val="left"/>
            </w:pPr>
            <w:r>
              <w:rPr/>
              <w:t>s.paty@ch-cambrai.fr</w:t>
            </w:r>
          </w:p>
        </w:tc>
      </w:tr>
      <w:tr>
        <w:trPr>
          <w:trHeight w:hRule="atLeast" w:val="290"/>
          <w:cantSplit w:val="false"/>
        </w:trPr>
        <w:tc>
          <w:tcPr>
            <w:tcW w:type="dxa" w:w="1157"/>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Madame</w:t>
            </w:r>
          </w:p>
        </w:tc>
        <w:tc>
          <w:tcPr>
            <w:tcW w:type="dxa" w:w="1515"/>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Isabelle</w:t>
            </w:r>
          </w:p>
        </w:tc>
        <w:tc>
          <w:tcPr>
            <w:tcW w:type="dxa" w:w="2892"/>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BLANCHARD</w:t>
            </w:r>
          </w:p>
        </w:tc>
        <w:tc>
          <w:tcPr>
            <w:tcW w:type="dxa" w:w="3503"/>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bottom"/>
          </w:tcPr>
          <w:p>
            <w:pPr>
              <w:pStyle w:val="style0"/>
              <w:jc w:val="left"/>
            </w:pPr>
            <w:r>
              <w:rPr/>
              <w:t>iblanchard@ch-cotebasque.fr</w:t>
            </w:r>
          </w:p>
        </w:tc>
      </w:tr>
      <w:tr>
        <w:trPr>
          <w:trHeight w:hRule="atLeast" w:val="290"/>
          <w:cantSplit w:val="false"/>
        </w:trPr>
        <w:tc>
          <w:tcPr>
            <w:tcW w:type="dxa" w:w="1157"/>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Monsieur</w:t>
            </w:r>
          </w:p>
        </w:tc>
        <w:tc>
          <w:tcPr>
            <w:tcW w:type="dxa" w:w="1515"/>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Yann</w:t>
            </w:r>
          </w:p>
        </w:tc>
        <w:tc>
          <w:tcPr>
            <w:tcW w:type="dxa" w:w="2892"/>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BLANCHARD</w:t>
            </w:r>
          </w:p>
        </w:tc>
        <w:tc>
          <w:tcPr>
            <w:tcW w:type="dxa" w:w="3503"/>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bottom"/>
          </w:tcPr>
          <w:p>
            <w:pPr>
              <w:pStyle w:val="style0"/>
              <w:jc w:val="left"/>
            </w:pPr>
            <w:r>
              <w:rPr/>
              <w:t>yblanchard@ch-cotebasque.fr</w:t>
            </w:r>
          </w:p>
        </w:tc>
      </w:tr>
      <w:tr>
        <w:trPr>
          <w:trHeight w:hRule="atLeast" w:val="290"/>
          <w:cantSplit w:val="false"/>
        </w:trPr>
        <w:tc>
          <w:tcPr>
            <w:tcW w:type="dxa" w:w="1157"/>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jc w:val="left"/>
            </w:pPr>
            <w:r>
              <w:rPr/>
              <w:t>Monsieur</w:t>
            </w:r>
          </w:p>
        </w:tc>
        <w:tc>
          <w:tcPr>
            <w:tcW w:type="dxa" w:w="1515"/>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pPr>
            <w:r>
              <w:rPr/>
              <w:t>David</w:t>
            </w:r>
          </w:p>
        </w:tc>
        <w:tc>
          <w:tcPr>
            <w:tcW w:type="dxa" w:w="2892"/>
            <w:tcBorders>
              <w:left w:color="000001" w:space="0" w:sz="2" w:val="single"/>
              <w:bottom w:color="000001" w:space="0" w:sz="2" w:val="single"/>
            </w:tcBorders>
            <w:shd w:fill="FFFFFF" w:val="clear"/>
            <w:tcMar>
              <w:top w:type="dxa" w:w="0"/>
              <w:left w:type="dxa" w:w="108"/>
              <w:bottom w:type="dxa" w:w="0"/>
              <w:right w:type="dxa" w:w="108"/>
            </w:tcMar>
            <w:vAlign w:val="bottom"/>
          </w:tcPr>
          <w:p>
            <w:pPr>
              <w:pStyle w:val="style0"/>
            </w:pPr>
            <w:r>
              <w:rPr/>
              <w:t>GOETGHEBEUR</w:t>
            </w:r>
          </w:p>
        </w:tc>
        <w:tc>
          <w:tcPr>
            <w:tcW w:type="dxa" w:w="3503"/>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bottom"/>
          </w:tcPr>
          <w:p>
            <w:pPr>
              <w:pStyle w:val="style0"/>
            </w:pPr>
            <w:r>
              <w:rPr>
                <w:rFonts w:ascii="Arial" w:cs="Arial" w:eastAsia="Arial" w:hAnsi="Arial"/>
                <w:b w:val="false"/>
                <w:bCs w:val="false"/>
                <w:i w:val="false"/>
                <w:iCs w:val="false"/>
                <w:strike w:val="false"/>
                <w:dstrike w:val="false"/>
                <w:outline w:val="false"/>
                <w:shadow w:val="false"/>
                <w:sz w:val="20"/>
                <w:szCs w:val="20"/>
                <w:u w:val="none"/>
                <w:em w:val="none"/>
              </w:rPr>
              <w:t>david.goetghebeur@chu-brest.fr</w:t>
            </w:r>
          </w:p>
        </w:tc>
      </w:tr>
    </w:tbl>
    <w:p>
      <w:pPr>
        <w:pStyle w:val="style37"/>
        <w:spacing w:after="120" w:before="240"/>
        <w:contextualSpacing w:val="false"/>
      </w:pPr>
      <w:r>
        <w:rPr/>
      </w:r>
    </w:p>
    <w:p>
      <w:pPr>
        <w:pStyle w:val="style37"/>
        <w:spacing w:after="120" w:before="240"/>
        <w:contextualSpacing w:val="false"/>
      </w:pPr>
      <w:r>
        <w:rPr/>
      </w:r>
    </w:p>
    <w:sectPr>
      <w:footerReference r:id="rId2" w:type="default"/>
      <w:type w:val="nextPage"/>
      <w:pgSz w:h="16838" w:w="11906"/>
      <w:pgMar w:bottom="1923" w:footer="1134"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Symbol">
    <w:charset w:val="02"/>
    <w:family w:val="auto"/>
    <w:pitch w:val="variable"/>
  </w:font>
  <w:font w:name="OpenSymbol">
    <w:altName w:val="Arial Unicode MS"/>
    <w:charset w:val="80"/>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6"/>
    </w:pPr>
    <w:r>
      <w:rPr/>
      <w:t>CA de la SoFIME (2 octobre 2013)</w:t>
      <w:tab/>
      <w:tab/>
    </w:r>
    <w:r>
      <w:rPr/>
      <w:fldChar w:fldCharType="begin"/>
    </w:r>
    <w:r>
      <w:instrText> PAGE </w:instrText>
    </w:r>
    <w:r>
      <w:fldChar w:fldCharType="separate"/>
    </w:r>
    <w:r>
      <w:t>5</w:t>
    </w:r>
    <w:r>
      <w:fldChar w:fldCharType="end"/>
    </w:r>
    <w:r>
      <w:rPr/>
      <w:t>/</w:t>
    </w:r>
    <w:r>
      <w:rPr/>
      <w:fldChar w:fldCharType="begin"/>
    </w:r>
    <w:r>
      <w:instrText> NUMPAGES </w:instrText>
    </w:r>
    <w:r>
      <w:fldChar w:fldCharType="separate"/>
    </w:r>
    <w:r>
      <w:t>5</w:t>
    </w:r>
    <w:r>
      <w:fldChar w:fldCharType="end"/>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3">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4">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5">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6">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Standard"/>
    <w:next w:val="style0"/>
    <w:pPr>
      <w:widowControl w:val="false"/>
      <w:tabs/>
      <w:suppressAutoHyphens w:val="true"/>
      <w:overflowPunct w:val="false"/>
    </w:pPr>
    <w:rPr>
      <w:rFonts w:ascii="Times New Roman" w:cs="Lohit Hindi" w:eastAsia="Times New Roman" w:hAnsi="Times New Roman"/>
      <w:color w:val="00000A"/>
      <w:sz w:val="24"/>
      <w:szCs w:val="24"/>
      <w:lang w:bidi="hi-IN" w:eastAsia="zh-CN" w:val="fr-FR"/>
    </w:rPr>
  </w:style>
  <w:style w:styleId="style1" w:type="paragraph">
    <w:name w:val="Titre 1"/>
    <w:basedOn w:val="style41"/>
    <w:next w:val="style37"/>
    <w:pPr>
      <w:numPr>
        <w:ilvl w:val="0"/>
        <w:numId w:val="1"/>
      </w:numPr>
      <w:outlineLvl w:val="0"/>
    </w:pPr>
    <w:rPr>
      <w:b/>
      <w:bCs/>
      <w:sz w:val="32"/>
      <w:szCs w:val="32"/>
    </w:rPr>
  </w:style>
  <w:style w:styleId="style2" w:type="paragraph">
    <w:name w:val="Titre 2"/>
    <w:basedOn w:val="style41"/>
    <w:next w:val="style37"/>
    <w:pPr>
      <w:numPr>
        <w:ilvl w:val="1"/>
        <w:numId w:val="1"/>
      </w:numPr>
      <w:outlineLvl w:val="1"/>
    </w:pPr>
    <w:rPr>
      <w:b/>
      <w:bCs/>
      <w:i/>
      <w:iCs/>
      <w:sz w:val="28"/>
      <w:szCs w:val="28"/>
    </w:rPr>
  </w:style>
  <w:style w:styleId="style3" w:type="paragraph">
    <w:name w:val="Titre 3"/>
    <w:basedOn w:val="style41"/>
    <w:next w:val="style37"/>
    <w:pPr>
      <w:numPr>
        <w:ilvl w:val="2"/>
        <w:numId w:val="1"/>
      </w:numPr>
      <w:outlineLvl w:val="2"/>
    </w:pPr>
    <w:rPr>
      <w:b/>
      <w:bCs/>
      <w:sz w:val="28"/>
      <w:szCs w:val="28"/>
    </w:rPr>
  </w:style>
  <w:style w:styleId="style4" w:type="paragraph">
    <w:name w:val="Titre 4"/>
    <w:basedOn w:val="style41"/>
    <w:next w:val="style37"/>
    <w:pPr>
      <w:numPr>
        <w:ilvl w:val="3"/>
        <w:numId w:val="1"/>
      </w:numPr>
      <w:outlineLvl w:val="3"/>
    </w:pPr>
    <w:rPr>
      <w:b/>
      <w:bCs/>
      <w:i/>
      <w:iCs/>
      <w:sz w:val="24"/>
      <w:szCs w:val="24"/>
    </w:rPr>
  </w:style>
  <w:style w:styleId="style5" w:type="paragraph">
    <w:name w:val="Titre 5"/>
    <w:basedOn w:val="style41"/>
    <w:next w:val="style37"/>
    <w:pPr>
      <w:numPr>
        <w:ilvl w:val="4"/>
        <w:numId w:val="1"/>
      </w:numPr>
      <w:outlineLvl w:val="4"/>
    </w:pPr>
    <w:rPr>
      <w:b/>
      <w:bCs/>
      <w:sz w:val="24"/>
      <w:szCs w:val="24"/>
    </w:rPr>
  </w:style>
  <w:style w:styleId="style6" w:type="paragraph">
    <w:name w:val="Titre 6"/>
    <w:basedOn w:val="style41"/>
    <w:next w:val="style37"/>
    <w:pPr>
      <w:numPr>
        <w:ilvl w:val="5"/>
        <w:numId w:val="1"/>
      </w:numPr>
      <w:outlineLvl w:val="5"/>
    </w:pPr>
    <w:rPr>
      <w:b/>
      <w:bCs/>
      <w:sz w:val="21"/>
      <w:szCs w:val="21"/>
    </w:rPr>
  </w:style>
  <w:style w:styleId="style15" w:type="character">
    <w:name w:val="Default Paragraph Font"/>
    <w:next w:val="style15"/>
    <w:rPr/>
  </w:style>
  <w:style w:styleId="style16" w:type="character">
    <w:name w:val="Heading 1 Char"/>
    <w:basedOn w:val="style15"/>
    <w:next w:val="style16"/>
    <w:rPr>
      <w:rFonts w:ascii="Cambria" w:cs="" w:hAnsi="Cambria"/>
      <w:b/>
      <w:bCs/>
      <w:sz w:val="32"/>
      <w:szCs w:val="32"/>
    </w:rPr>
  </w:style>
  <w:style w:styleId="style17" w:type="character">
    <w:name w:val="Heading 2 Char"/>
    <w:basedOn w:val="style15"/>
    <w:next w:val="style17"/>
    <w:rPr>
      <w:rFonts w:ascii="Cambria" w:cs="" w:hAnsi="Cambria"/>
      <w:b/>
      <w:bCs/>
      <w:i/>
      <w:iCs/>
      <w:sz w:val="28"/>
      <w:szCs w:val="28"/>
    </w:rPr>
  </w:style>
  <w:style w:styleId="style18" w:type="character">
    <w:name w:val="Heading 3 Char"/>
    <w:basedOn w:val="style15"/>
    <w:next w:val="style18"/>
    <w:rPr>
      <w:rFonts w:ascii="Cambria" w:cs="" w:hAnsi="Cambria"/>
      <w:b/>
      <w:bCs/>
      <w:sz w:val="26"/>
      <w:szCs w:val="26"/>
    </w:rPr>
  </w:style>
  <w:style w:styleId="style19" w:type="character">
    <w:name w:val="Heading 4 Char"/>
    <w:basedOn w:val="style15"/>
    <w:next w:val="style19"/>
    <w:rPr>
      <w:rFonts w:ascii="Calibri" w:cs="" w:hAnsi="Calibri"/>
      <w:b/>
      <w:bCs/>
      <w:sz w:val="28"/>
      <w:szCs w:val="28"/>
    </w:rPr>
  </w:style>
  <w:style w:styleId="style20" w:type="character">
    <w:name w:val="Heading 5 Char"/>
    <w:basedOn w:val="style15"/>
    <w:next w:val="style20"/>
    <w:rPr>
      <w:rFonts w:ascii="Calibri" w:cs="" w:hAnsi="Calibri"/>
      <w:b/>
      <w:bCs/>
      <w:i/>
      <w:iCs/>
      <w:sz w:val="26"/>
      <w:szCs w:val="26"/>
    </w:rPr>
  </w:style>
  <w:style w:styleId="style21" w:type="character">
    <w:name w:val="Heading 6 Char"/>
    <w:basedOn w:val="style15"/>
    <w:next w:val="style21"/>
    <w:rPr>
      <w:rFonts w:ascii="Calibri" w:cs="" w:hAnsi="Calibri"/>
      <w:b/>
      <w:bCs/>
    </w:rPr>
  </w:style>
  <w:style w:styleId="style22" w:type="character">
    <w:name w:val="Puces"/>
    <w:next w:val="style22"/>
    <w:rPr>
      <w:rFonts w:ascii="OpenSymbol" w:cs="OpenSymbol" w:eastAsia="Times New Roman" w:hAnsi="OpenSymbol"/>
    </w:rPr>
  </w:style>
  <w:style w:styleId="style23" w:type="character">
    <w:name w:val="ListLabel 1"/>
    <w:next w:val="style23"/>
    <w:rPr/>
  </w:style>
  <w:style w:styleId="style24" w:type="character">
    <w:name w:val="ListLabel 2"/>
    <w:next w:val="style24"/>
    <w:rPr/>
  </w:style>
  <w:style w:styleId="style25" w:type="character">
    <w:name w:val="Title Char"/>
    <w:basedOn w:val="style15"/>
    <w:next w:val="style25"/>
    <w:rPr>
      <w:rFonts w:ascii="Cambria" w:cs="" w:hAnsi="Cambria"/>
      <w:b/>
      <w:bCs/>
      <w:sz w:val="32"/>
      <w:szCs w:val="32"/>
    </w:rPr>
  </w:style>
  <w:style w:styleId="style26" w:type="character">
    <w:name w:val="Body Text Char"/>
    <w:basedOn w:val="style15"/>
    <w:next w:val="style26"/>
    <w:rPr/>
  </w:style>
  <w:style w:styleId="style27" w:type="character">
    <w:name w:val="Footer Char"/>
    <w:basedOn w:val="style15"/>
    <w:next w:val="style27"/>
    <w:rPr/>
  </w:style>
  <w:style w:styleId="style28" w:type="character">
    <w:name w:val="Header Char"/>
    <w:basedOn w:val="style15"/>
    <w:next w:val="style28"/>
    <w:rPr/>
  </w:style>
  <w:style w:styleId="style29" w:type="character">
    <w:name w:val="ListLabel 3"/>
    <w:next w:val="style29"/>
    <w:rPr>
      <w:rFonts w:cs="Times New Roman"/>
    </w:rPr>
  </w:style>
  <w:style w:styleId="style30" w:type="character">
    <w:name w:val="ListLabel 4"/>
    <w:next w:val="style30"/>
    <w:rPr>
      <w:rFonts w:cs="Symbol"/>
    </w:rPr>
  </w:style>
  <w:style w:styleId="style31" w:type="character">
    <w:name w:val="ListLabel 5"/>
    <w:next w:val="style31"/>
    <w:rPr>
      <w:rFonts w:cs="OpenSymbol"/>
    </w:rPr>
  </w:style>
  <w:style w:styleId="style32" w:type="character">
    <w:name w:val="ListLabel 6"/>
    <w:next w:val="style32"/>
    <w:rPr>
      <w:rFonts w:cs="Symbol"/>
    </w:rPr>
  </w:style>
  <w:style w:styleId="style33" w:type="character">
    <w:name w:val="ListLabel 7"/>
    <w:next w:val="style33"/>
    <w:rPr>
      <w:rFonts w:cs="OpenSymbol"/>
    </w:rPr>
  </w:style>
  <w:style w:styleId="style34" w:type="character">
    <w:name w:val="ListLabel 8"/>
    <w:next w:val="style34"/>
    <w:rPr>
      <w:rFonts w:cs="Symbol"/>
    </w:rPr>
  </w:style>
  <w:style w:styleId="style35" w:type="character">
    <w:name w:val="ListLabel 9"/>
    <w:next w:val="style35"/>
    <w:rPr>
      <w:rFonts w:cs="OpenSymbol"/>
    </w:rPr>
  </w:style>
  <w:style w:styleId="style36" w:type="paragraph">
    <w:name w:val="Titre"/>
    <w:basedOn w:val="style0"/>
    <w:next w:val="style37"/>
    <w:pPr>
      <w:keepNext/>
      <w:spacing w:after="120" w:before="240"/>
      <w:contextualSpacing w:val="false"/>
    </w:pPr>
    <w:rPr>
      <w:rFonts w:ascii="Arial" w:cs="Lohit Hindi" w:eastAsia="DejaVu Sans" w:hAnsi="Arial"/>
      <w:sz w:val="28"/>
      <w:szCs w:val="28"/>
    </w:rPr>
  </w:style>
  <w:style w:styleId="style37" w:type="paragraph">
    <w:name w:val="Corps de texte"/>
    <w:basedOn w:val="style0"/>
    <w:next w:val="style37"/>
    <w:pPr>
      <w:spacing w:after="120" w:before="0"/>
      <w:contextualSpacing w:val="false"/>
    </w:pPr>
    <w:rPr/>
  </w:style>
  <w:style w:styleId="style38" w:type="paragraph">
    <w:name w:val="Liste"/>
    <w:basedOn w:val="style37"/>
    <w:next w:val="style38"/>
    <w:pPr/>
    <w:rPr>
      <w:rFonts w:cs="Lohit Hindi"/>
    </w:rPr>
  </w:style>
  <w:style w:styleId="style39" w:type="paragraph">
    <w:name w:val="Légende"/>
    <w:basedOn w:val="style0"/>
    <w:next w:val="style39"/>
    <w:pPr>
      <w:suppressLineNumbers/>
      <w:spacing w:after="120" w:before="120"/>
      <w:contextualSpacing w:val="false"/>
    </w:pPr>
    <w:rPr>
      <w:rFonts w:cs="Lohit Hindi"/>
      <w:i/>
      <w:iCs/>
      <w:sz w:val="24"/>
      <w:szCs w:val="24"/>
    </w:rPr>
  </w:style>
  <w:style w:styleId="style40" w:type="paragraph">
    <w:name w:val="Index"/>
    <w:basedOn w:val="style0"/>
    <w:next w:val="style40"/>
    <w:pPr>
      <w:suppressLineNumbers/>
    </w:pPr>
    <w:rPr>
      <w:rFonts w:cs="Lohit Hindi"/>
    </w:rPr>
  </w:style>
  <w:style w:styleId="style41" w:type="paragraph">
    <w:name w:val="Titre principal"/>
    <w:basedOn w:val="style0"/>
    <w:next w:val="style42"/>
    <w:pPr>
      <w:keepNext/>
      <w:spacing w:after="120" w:before="240"/>
      <w:contextualSpacing w:val="false"/>
      <w:jc w:val="center"/>
    </w:pPr>
    <w:rPr>
      <w:rFonts w:ascii="Arial" w:hAnsi="Arial"/>
      <w:b/>
      <w:bCs/>
      <w:sz w:val="28"/>
      <w:szCs w:val="28"/>
    </w:rPr>
  </w:style>
  <w:style w:styleId="style42" w:type="paragraph">
    <w:name w:val="Sous-titre"/>
    <w:basedOn w:val="style36"/>
    <w:next w:val="style37"/>
    <w:pPr>
      <w:jc w:val="center"/>
    </w:pPr>
    <w:rPr>
      <w:i/>
      <w:iCs/>
      <w:sz w:val="28"/>
      <w:szCs w:val="28"/>
    </w:rPr>
  </w:style>
  <w:style w:styleId="style43" w:type="paragraph">
    <w:name w:val="caption"/>
    <w:basedOn w:val="style0"/>
    <w:next w:val="style43"/>
    <w:pPr>
      <w:suppressLineNumbers/>
      <w:spacing w:after="120" w:before="120"/>
      <w:contextualSpacing w:val="false"/>
    </w:pPr>
    <w:rPr>
      <w:i/>
      <w:iCs/>
    </w:rPr>
  </w:style>
  <w:style w:styleId="style44" w:type="paragraph">
    <w:name w:val="Contenu de tableau"/>
    <w:basedOn w:val="style0"/>
    <w:next w:val="style44"/>
    <w:pPr>
      <w:suppressLineNumbers/>
    </w:pPr>
    <w:rPr/>
  </w:style>
  <w:style w:styleId="style45" w:type="paragraph">
    <w:name w:val="Titre de tableau"/>
    <w:basedOn w:val="style44"/>
    <w:next w:val="style45"/>
    <w:pPr>
      <w:suppressLineNumbers/>
      <w:jc w:val="center"/>
    </w:pPr>
    <w:rPr>
      <w:b/>
      <w:bCs/>
    </w:rPr>
  </w:style>
  <w:style w:styleId="style46" w:type="paragraph">
    <w:name w:val="Pied de page"/>
    <w:basedOn w:val="style0"/>
    <w:next w:val="style46"/>
    <w:pPr>
      <w:suppressLineNumbers/>
      <w:tabs>
        <w:tab w:leader="none" w:pos="4819" w:val="center"/>
        <w:tab w:leader="none" w:pos="9638" w:val="right"/>
      </w:tabs>
    </w:pPr>
    <w:rPr/>
  </w:style>
  <w:style w:styleId="style47" w:type="paragraph">
    <w:name w:val="En-tête"/>
    <w:basedOn w:val="style0"/>
    <w:next w:val="style47"/>
    <w:pPr>
      <w:suppressLineNumbers/>
      <w:tabs>
        <w:tab w:leader="none" w:pos="4819" w:val="center"/>
        <w:tab w:leader="none" w:pos="963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Normal_Wordconv.dotm</Template>
  <TotalTime>0</TotalTime>
  <Application>LibreOffice/3.6$Linux_x86 LibreOffice_project/360m1$Build-2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2013-06-18T11:40:00.00Z</dcterms:created>
  <dc:creator>Namik </dc:creator>
  <cp:lastModifiedBy>01000389</cp:lastModifiedBy>
  <dcterms:modified xsi:type="dcterms:W3CDTF">2013-06-18T11:40:00.00Z</dcterms:modified>
  <cp:revision>2</cp:revision>
  <dc:title>CA de la SOFIME</dc:title>
</cp:coreProperties>
</file>