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F7" w:rsidRDefault="00F227F7"/>
    <w:tbl>
      <w:tblPr>
        <w:tblW w:w="9062" w:type="dxa"/>
        <w:tblCellMar>
          <w:left w:w="10" w:type="dxa"/>
          <w:right w:w="10" w:type="dxa"/>
        </w:tblCellMar>
        <w:tblLook w:val="0000" w:firstRow="0" w:lastRow="0" w:firstColumn="0" w:lastColumn="0" w:noHBand="0" w:noVBand="0"/>
      </w:tblPr>
      <w:tblGrid>
        <w:gridCol w:w="4531"/>
        <w:gridCol w:w="4531"/>
      </w:tblGrid>
      <w:tr w:rsidR="00F227F7" w:rsidRPr="0005661A">
        <w:tc>
          <w:tcPr>
            <w:tcW w:w="4531" w:type="dxa"/>
            <w:shd w:val="clear" w:color="auto" w:fill="auto"/>
            <w:tcMar>
              <w:top w:w="0" w:type="dxa"/>
              <w:left w:w="108" w:type="dxa"/>
              <w:bottom w:w="0" w:type="dxa"/>
              <w:right w:w="108" w:type="dxa"/>
            </w:tcMar>
          </w:tcPr>
          <w:p w:rsidR="00F227F7" w:rsidRPr="0005661A" w:rsidRDefault="00F227F7">
            <w:pPr>
              <w:rPr>
                <w:rFonts w:asciiTheme="minorHAnsi" w:hAnsiTheme="minorHAnsi"/>
                <w:b/>
              </w:rPr>
            </w:pPr>
          </w:p>
          <w:p w:rsidR="00F227F7" w:rsidRPr="0005661A" w:rsidRDefault="00D17356">
            <w:pPr>
              <w:rPr>
                <w:rFonts w:asciiTheme="minorHAnsi" w:hAnsiTheme="minorHAnsi"/>
                <w:b/>
              </w:rPr>
            </w:pPr>
            <w:r w:rsidRPr="0005661A">
              <w:rPr>
                <w:rFonts w:asciiTheme="minorHAnsi" w:hAnsiTheme="minorHAnsi"/>
                <w:b/>
                <w:noProof/>
                <w:lang w:eastAsia="fr-FR"/>
              </w:rPr>
              <w:drawing>
                <wp:inline distT="0" distB="0" distL="0" distR="0">
                  <wp:extent cx="2000250" cy="825500"/>
                  <wp:effectExtent l="19050" t="0" r="0" b="0"/>
                  <wp:docPr id="1" name="Image 42" descr="\\srv-data01\nos documents\E - POLE RESSOURCES\COMMUNICATION\Logos\ILDYS\logo_ild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descr="\\srv-data01\nos documents\E - POLE RESSOURCES\COMMUNICATION\Logos\ILDYS\logo_ildys.jpg"/>
                          <pic:cNvPicPr>
                            <a:picLocks noChangeAspect="1" noChangeArrowheads="1"/>
                          </pic:cNvPicPr>
                        </pic:nvPicPr>
                        <pic:blipFill>
                          <a:blip r:embed="rId8" cstate="print"/>
                          <a:srcRect/>
                          <a:stretch>
                            <a:fillRect/>
                          </a:stretch>
                        </pic:blipFill>
                        <pic:spPr bwMode="auto">
                          <a:xfrm>
                            <a:off x="0" y="0"/>
                            <a:ext cx="2000250" cy="825500"/>
                          </a:xfrm>
                          <a:prstGeom prst="rect">
                            <a:avLst/>
                          </a:prstGeom>
                          <a:noFill/>
                          <a:ln w="9525">
                            <a:noFill/>
                            <a:miter lim="800000"/>
                            <a:headEnd/>
                            <a:tailEnd/>
                          </a:ln>
                        </pic:spPr>
                      </pic:pic>
                    </a:graphicData>
                  </a:graphic>
                </wp:inline>
              </w:drawing>
            </w:r>
          </w:p>
          <w:p w:rsidR="00F227F7" w:rsidRPr="0005661A" w:rsidRDefault="00F227F7">
            <w:pPr>
              <w:rPr>
                <w:rFonts w:asciiTheme="minorHAnsi" w:hAnsiTheme="minorHAnsi"/>
                <w:b/>
              </w:rPr>
            </w:pPr>
          </w:p>
          <w:p w:rsidR="003B64CF" w:rsidRDefault="003B64CF">
            <w:pPr>
              <w:jc w:val="center"/>
              <w:rPr>
                <w:rFonts w:asciiTheme="minorHAnsi" w:hAnsiTheme="minorHAnsi"/>
                <w:b/>
                <w:color w:val="3366FF"/>
              </w:rPr>
            </w:pPr>
          </w:p>
          <w:p w:rsidR="00C401FC" w:rsidRPr="0005661A" w:rsidRDefault="00C401FC">
            <w:pPr>
              <w:jc w:val="center"/>
              <w:rPr>
                <w:rFonts w:asciiTheme="minorHAnsi" w:hAnsiTheme="minorHAnsi"/>
                <w:b/>
                <w:color w:val="3366FF"/>
              </w:rPr>
            </w:pPr>
          </w:p>
          <w:p w:rsidR="00F227F7" w:rsidRPr="00C401FC" w:rsidRDefault="006E1689" w:rsidP="006E1689">
            <w:pPr>
              <w:rPr>
                <w:rFonts w:asciiTheme="minorHAnsi" w:hAnsiTheme="minorHAnsi"/>
                <w:color w:val="000000" w:themeColor="text1"/>
                <w:sz w:val="20"/>
                <w:szCs w:val="20"/>
              </w:rPr>
            </w:pPr>
            <w:r w:rsidRPr="00C401FC">
              <w:rPr>
                <w:rFonts w:asciiTheme="minorHAnsi" w:hAnsiTheme="minorHAnsi"/>
                <w:b/>
                <w:color w:val="000000" w:themeColor="text1"/>
                <w:sz w:val="20"/>
                <w:szCs w:val="20"/>
              </w:rPr>
              <w:t xml:space="preserve">                         </w:t>
            </w:r>
            <w:r w:rsidR="00F227F7" w:rsidRPr="00C401FC">
              <w:rPr>
                <w:rFonts w:asciiTheme="minorHAnsi" w:hAnsiTheme="minorHAnsi"/>
                <w:b/>
                <w:color w:val="000000" w:themeColor="text1"/>
                <w:sz w:val="20"/>
                <w:szCs w:val="20"/>
              </w:rPr>
              <w:t xml:space="preserve">La Fondation </w:t>
            </w:r>
            <w:proofErr w:type="spellStart"/>
            <w:r w:rsidR="00F227F7" w:rsidRPr="00C401FC">
              <w:rPr>
                <w:rFonts w:asciiTheme="minorHAnsi" w:hAnsiTheme="minorHAnsi" w:cs="Arial"/>
                <w:b/>
                <w:color w:val="000000" w:themeColor="text1"/>
                <w:sz w:val="20"/>
                <w:szCs w:val="20"/>
                <w:shd w:val="clear" w:color="auto" w:fill="FFFFFF"/>
              </w:rPr>
              <w:t>Ildys</w:t>
            </w:r>
            <w:proofErr w:type="spellEnd"/>
          </w:p>
          <w:p w:rsidR="00F227F7" w:rsidRPr="00C401FC" w:rsidRDefault="00F227F7">
            <w:pPr>
              <w:jc w:val="center"/>
              <w:rPr>
                <w:rFonts w:asciiTheme="minorHAnsi" w:hAnsiTheme="minorHAnsi" w:cs="Arial"/>
                <w:color w:val="000000" w:themeColor="text1"/>
                <w:sz w:val="20"/>
                <w:szCs w:val="20"/>
                <w:shd w:val="clear" w:color="auto" w:fill="FFFFFF"/>
              </w:rPr>
            </w:pPr>
            <w:r w:rsidRPr="00C401FC">
              <w:rPr>
                <w:rFonts w:asciiTheme="minorHAnsi" w:hAnsiTheme="minorHAnsi" w:cs="Arial"/>
                <w:color w:val="000000" w:themeColor="text1"/>
                <w:sz w:val="20"/>
                <w:szCs w:val="20"/>
                <w:shd w:val="clear" w:color="auto" w:fill="FFFFFF"/>
              </w:rPr>
              <w:t>394 lits et places, 582 salariés</w:t>
            </w:r>
          </w:p>
          <w:p w:rsidR="00F227F7" w:rsidRPr="00C401FC" w:rsidRDefault="00F227F7">
            <w:pPr>
              <w:jc w:val="center"/>
              <w:rPr>
                <w:rFonts w:asciiTheme="minorHAnsi" w:hAnsiTheme="minorHAnsi" w:cs="Arial"/>
                <w:color w:val="000000" w:themeColor="text1"/>
                <w:sz w:val="20"/>
                <w:szCs w:val="20"/>
                <w:shd w:val="clear" w:color="auto" w:fill="FFFFFF"/>
              </w:rPr>
            </w:pPr>
            <w:r w:rsidRPr="00C401FC">
              <w:rPr>
                <w:rFonts w:asciiTheme="minorHAnsi" w:hAnsiTheme="minorHAnsi" w:cs="Arial"/>
                <w:color w:val="000000" w:themeColor="text1"/>
                <w:sz w:val="20"/>
                <w:szCs w:val="20"/>
                <w:shd w:val="clear" w:color="auto" w:fill="FFFFFF"/>
              </w:rPr>
              <w:t>situé à Roscoff</w:t>
            </w:r>
          </w:p>
          <w:p w:rsidR="00F227F7" w:rsidRPr="00C401FC" w:rsidRDefault="00F227F7">
            <w:pPr>
              <w:jc w:val="center"/>
              <w:rPr>
                <w:rFonts w:asciiTheme="minorHAnsi" w:hAnsiTheme="minorHAnsi"/>
                <w:i/>
                <w:color w:val="000000" w:themeColor="text1"/>
                <w:sz w:val="20"/>
                <w:szCs w:val="20"/>
              </w:rPr>
            </w:pPr>
            <w:r w:rsidRPr="00C401FC">
              <w:rPr>
                <w:rFonts w:asciiTheme="minorHAnsi" w:hAnsiTheme="minorHAnsi"/>
                <w:i/>
                <w:color w:val="000000" w:themeColor="text1"/>
                <w:sz w:val="20"/>
                <w:szCs w:val="20"/>
              </w:rPr>
              <w:t>www.ildys.</w:t>
            </w:r>
            <w:r w:rsidR="003B64CF" w:rsidRPr="00C401FC">
              <w:rPr>
                <w:rFonts w:asciiTheme="minorHAnsi" w:hAnsiTheme="minorHAnsi"/>
                <w:i/>
                <w:color w:val="000000" w:themeColor="text1"/>
                <w:sz w:val="20"/>
                <w:szCs w:val="20"/>
              </w:rPr>
              <w:t>org</w:t>
            </w:r>
          </w:p>
          <w:p w:rsidR="00F227F7" w:rsidRPr="0005661A" w:rsidRDefault="00F227F7">
            <w:pPr>
              <w:rPr>
                <w:rFonts w:asciiTheme="minorHAnsi" w:hAnsiTheme="minorHAnsi"/>
                <w:b/>
              </w:rPr>
            </w:pPr>
          </w:p>
        </w:tc>
        <w:tc>
          <w:tcPr>
            <w:tcW w:w="4531" w:type="dxa"/>
            <w:shd w:val="clear" w:color="auto" w:fill="auto"/>
            <w:tcMar>
              <w:top w:w="0" w:type="dxa"/>
              <w:left w:w="108" w:type="dxa"/>
              <w:bottom w:w="0" w:type="dxa"/>
              <w:right w:w="108" w:type="dxa"/>
            </w:tcMar>
          </w:tcPr>
          <w:p w:rsidR="00F227F7" w:rsidRPr="0005661A" w:rsidRDefault="00F227F7">
            <w:pPr>
              <w:jc w:val="center"/>
              <w:rPr>
                <w:rFonts w:asciiTheme="minorHAnsi" w:hAnsiTheme="minorHAnsi" w:cs="Arial"/>
                <w:b/>
                <w:color w:val="222222"/>
                <w:shd w:val="clear" w:color="auto" w:fill="FFFFFF"/>
              </w:rPr>
            </w:pPr>
          </w:p>
          <w:p w:rsidR="00F227F7" w:rsidRPr="0005661A" w:rsidRDefault="00D17356">
            <w:pPr>
              <w:jc w:val="center"/>
              <w:rPr>
                <w:rFonts w:asciiTheme="minorHAnsi" w:hAnsiTheme="minorHAnsi" w:cs="Arial"/>
                <w:b/>
                <w:color w:val="222222"/>
                <w:shd w:val="clear" w:color="auto" w:fill="FFFFFF"/>
              </w:rPr>
            </w:pPr>
            <w:r w:rsidRPr="0005661A">
              <w:rPr>
                <w:rFonts w:asciiTheme="minorHAnsi" w:hAnsiTheme="minorHAnsi"/>
                <w:noProof/>
                <w:lang w:eastAsia="fr-FR"/>
              </w:rPr>
              <w:drawing>
                <wp:inline distT="0" distB="0" distL="0" distR="0">
                  <wp:extent cx="1168400" cy="1111250"/>
                  <wp:effectExtent l="19050" t="0" r="0" b="0"/>
                  <wp:docPr id="2" name="Image 2" descr="Centre Mutualiste de Rééducation et de Réadaptation Fonctionne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e Mutualiste de Rééducation et de Réadaptation Fonctionnelles"/>
                          <pic:cNvPicPr>
                            <a:picLocks noChangeAspect="1" noChangeArrowheads="1"/>
                          </pic:cNvPicPr>
                        </pic:nvPicPr>
                        <pic:blipFill>
                          <a:blip r:embed="rId9" cstate="print"/>
                          <a:srcRect/>
                          <a:stretch>
                            <a:fillRect/>
                          </a:stretch>
                        </pic:blipFill>
                        <pic:spPr bwMode="auto">
                          <a:xfrm>
                            <a:off x="0" y="0"/>
                            <a:ext cx="1168400" cy="1111250"/>
                          </a:xfrm>
                          <a:prstGeom prst="rect">
                            <a:avLst/>
                          </a:prstGeom>
                          <a:noFill/>
                          <a:ln w="9525">
                            <a:noFill/>
                            <a:miter lim="800000"/>
                            <a:headEnd/>
                            <a:tailEnd/>
                          </a:ln>
                        </pic:spPr>
                      </pic:pic>
                    </a:graphicData>
                  </a:graphic>
                </wp:inline>
              </w:drawing>
            </w:r>
          </w:p>
          <w:p w:rsidR="00F227F7" w:rsidRPr="0005661A" w:rsidRDefault="00F227F7">
            <w:pPr>
              <w:jc w:val="center"/>
              <w:rPr>
                <w:rFonts w:asciiTheme="minorHAnsi" w:hAnsiTheme="minorHAnsi" w:cs="Arial"/>
                <w:b/>
                <w:color w:val="222222"/>
                <w:shd w:val="clear" w:color="auto" w:fill="FFFFFF"/>
              </w:rPr>
            </w:pPr>
          </w:p>
          <w:p w:rsidR="00F227F7" w:rsidRPr="00C401FC" w:rsidRDefault="00F227F7">
            <w:pPr>
              <w:jc w:val="center"/>
              <w:rPr>
                <w:rFonts w:asciiTheme="minorHAnsi" w:hAnsiTheme="minorHAnsi" w:cs="Arial"/>
                <w:b/>
                <w:color w:val="000000" w:themeColor="text1"/>
                <w:sz w:val="20"/>
                <w:szCs w:val="20"/>
                <w:shd w:val="clear" w:color="auto" w:fill="FFFFFF"/>
              </w:rPr>
            </w:pPr>
            <w:r w:rsidRPr="00C401FC">
              <w:rPr>
                <w:rFonts w:asciiTheme="minorHAnsi" w:hAnsiTheme="minorHAnsi" w:cs="Arial"/>
                <w:b/>
                <w:color w:val="000000" w:themeColor="text1"/>
                <w:sz w:val="20"/>
                <w:szCs w:val="20"/>
                <w:shd w:val="clear" w:color="auto" w:fill="FFFFFF"/>
              </w:rPr>
              <w:t xml:space="preserve">Le Centre Mutualiste de </w:t>
            </w:r>
            <w:proofErr w:type="spellStart"/>
            <w:r w:rsidRPr="00C401FC">
              <w:rPr>
                <w:rFonts w:asciiTheme="minorHAnsi" w:hAnsiTheme="minorHAnsi" w:cs="Arial"/>
                <w:b/>
                <w:color w:val="000000" w:themeColor="text1"/>
                <w:sz w:val="20"/>
                <w:szCs w:val="20"/>
                <w:shd w:val="clear" w:color="auto" w:fill="FFFFFF"/>
              </w:rPr>
              <w:t>Kerpape</w:t>
            </w:r>
            <w:proofErr w:type="spellEnd"/>
          </w:p>
          <w:p w:rsidR="00F227F7" w:rsidRPr="00C401FC" w:rsidRDefault="00F227F7">
            <w:pPr>
              <w:jc w:val="center"/>
              <w:rPr>
                <w:rFonts w:asciiTheme="minorHAnsi" w:hAnsiTheme="minorHAnsi" w:cs="Arial"/>
                <w:color w:val="000000" w:themeColor="text1"/>
                <w:sz w:val="20"/>
                <w:szCs w:val="20"/>
                <w:shd w:val="clear" w:color="auto" w:fill="FFFFFF"/>
              </w:rPr>
            </w:pPr>
            <w:r w:rsidRPr="00C401FC">
              <w:rPr>
                <w:rFonts w:asciiTheme="minorHAnsi" w:hAnsiTheme="minorHAnsi" w:cs="Arial"/>
                <w:color w:val="000000" w:themeColor="text1"/>
                <w:sz w:val="20"/>
                <w:szCs w:val="20"/>
                <w:shd w:val="clear" w:color="auto" w:fill="FFFFFF"/>
              </w:rPr>
              <w:t>300 lits et places, 650 salariés</w:t>
            </w:r>
            <w:r w:rsidR="003B64CF" w:rsidRPr="00C401FC">
              <w:rPr>
                <w:rFonts w:asciiTheme="minorHAnsi" w:hAnsiTheme="minorHAnsi" w:cs="Arial"/>
                <w:color w:val="000000" w:themeColor="text1"/>
                <w:sz w:val="20"/>
                <w:szCs w:val="20"/>
                <w:shd w:val="clear" w:color="auto" w:fill="FFFFFF"/>
              </w:rPr>
              <w:t>,</w:t>
            </w:r>
          </w:p>
          <w:p w:rsidR="00F227F7" w:rsidRPr="00C401FC" w:rsidRDefault="00F227F7">
            <w:pPr>
              <w:jc w:val="center"/>
              <w:rPr>
                <w:rFonts w:asciiTheme="minorHAnsi" w:hAnsiTheme="minorHAnsi" w:cs="Arial"/>
                <w:color w:val="000000" w:themeColor="text1"/>
                <w:sz w:val="20"/>
                <w:szCs w:val="20"/>
                <w:shd w:val="clear" w:color="auto" w:fill="FFFFFF"/>
              </w:rPr>
            </w:pPr>
            <w:r w:rsidRPr="00C401FC">
              <w:rPr>
                <w:rFonts w:asciiTheme="minorHAnsi" w:hAnsiTheme="minorHAnsi" w:cs="Arial"/>
                <w:color w:val="000000" w:themeColor="text1"/>
                <w:sz w:val="20"/>
                <w:szCs w:val="20"/>
                <w:shd w:val="clear" w:color="auto" w:fill="FFFFFF"/>
              </w:rPr>
              <w:t>situé à proximité de Lorient</w:t>
            </w:r>
          </w:p>
          <w:p w:rsidR="00F227F7" w:rsidRPr="0005661A" w:rsidRDefault="003B64CF">
            <w:pPr>
              <w:jc w:val="center"/>
              <w:rPr>
                <w:rFonts w:asciiTheme="minorHAnsi" w:hAnsiTheme="minorHAnsi"/>
                <w:b/>
              </w:rPr>
            </w:pPr>
            <w:r w:rsidRPr="00C401FC">
              <w:rPr>
                <w:rFonts w:asciiTheme="minorHAnsi" w:hAnsiTheme="minorHAnsi" w:cs="Arial"/>
                <w:i/>
                <w:color w:val="000000" w:themeColor="text1"/>
                <w:sz w:val="20"/>
                <w:szCs w:val="20"/>
                <w:shd w:val="clear" w:color="auto" w:fill="FFFFFF"/>
              </w:rPr>
              <w:t>www.kerpape.mutualite56.fr/fr</w:t>
            </w:r>
          </w:p>
        </w:tc>
      </w:tr>
    </w:tbl>
    <w:p w:rsidR="00F227F7" w:rsidRPr="0005661A" w:rsidRDefault="00F227F7">
      <w:pPr>
        <w:rPr>
          <w:rFonts w:asciiTheme="minorHAnsi" w:hAnsiTheme="minorHAnsi"/>
        </w:rPr>
      </w:pPr>
    </w:p>
    <w:p w:rsidR="00F227F7" w:rsidRPr="00C401FC" w:rsidRDefault="00F227F7">
      <w:pPr>
        <w:jc w:val="center"/>
        <w:rPr>
          <w:rFonts w:asciiTheme="minorHAnsi" w:hAnsiTheme="minorHAnsi"/>
          <w:sz w:val="20"/>
          <w:szCs w:val="20"/>
        </w:rPr>
      </w:pPr>
      <w:r w:rsidRPr="00C401FC">
        <w:rPr>
          <w:rFonts w:asciiTheme="minorHAnsi" w:hAnsiTheme="minorHAnsi"/>
          <w:sz w:val="20"/>
          <w:szCs w:val="20"/>
        </w:rPr>
        <w:t>Etablissements dynamiques de SSR, développant des activités territoriales, régionales et nationales, recherchent dans le cadre d’un temps partagé</w:t>
      </w:r>
    </w:p>
    <w:p w:rsidR="00F227F7" w:rsidRPr="00C401FC" w:rsidRDefault="00F227F7">
      <w:pPr>
        <w:jc w:val="center"/>
        <w:rPr>
          <w:rFonts w:asciiTheme="minorHAnsi" w:hAnsiTheme="minorHAnsi"/>
          <w:sz w:val="20"/>
          <w:szCs w:val="20"/>
        </w:rPr>
      </w:pPr>
    </w:p>
    <w:p w:rsidR="00F227F7" w:rsidRPr="00C401FC" w:rsidRDefault="00F227F7">
      <w:pPr>
        <w:jc w:val="center"/>
        <w:rPr>
          <w:rFonts w:asciiTheme="minorHAnsi" w:hAnsiTheme="minorHAnsi"/>
          <w:b/>
          <w:sz w:val="20"/>
          <w:szCs w:val="20"/>
        </w:rPr>
      </w:pPr>
      <w:r w:rsidRPr="00C401FC">
        <w:rPr>
          <w:rFonts w:asciiTheme="minorHAnsi" w:hAnsiTheme="minorHAnsi"/>
          <w:b/>
          <w:sz w:val="20"/>
          <w:szCs w:val="20"/>
        </w:rPr>
        <w:t>UN MEDECIN DIM</w:t>
      </w:r>
    </w:p>
    <w:p w:rsidR="006E1689" w:rsidRPr="00C401FC" w:rsidRDefault="00F227F7">
      <w:pPr>
        <w:jc w:val="center"/>
        <w:rPr>
          <w:rFonts w:asciiTheme="minorHAnsi" w:hAnsiTheme="minorHAnsi"/>
          <w:sz w:val="20"/>
          <w:szCs w:val="20"/>
        </w:rPr>
      </w:pPr>
      <w:r w:rsidRPr="00C401FC">
        <w:rPr>
          <w:rFonts w:asciiTheme="minorHAnsi" w:hAnsiTheme="minorHAnsi"/>
          <w:sz w:val="20"/>
          <w:szCs w:val="20"/>
        </w:rPr>
        <w:t xml:space="preserve">Contrat temps plein à durée indéterminé, </w:t>
      </w:r>
    </w:p>
    <w:p w:rsidR="00F227F7" w:rsidRPr="00C401FC" w:rsidRDefault="007A5A0B">
      <w:pPr>
        <w:jc w:val="center"/>
        <w:rPr>
          <w:rFonts w:asciiTheme="minorHAnsi" w:hAnsiTheme="minorHAnsi"/>
          <w:sz w:val="20"/>
          <w:szCs w:val="20"/>
        </w:rPr>
      </w:pPr>
      <w:r>
        <w:rPr>
          <w:rFonts w:asciiTheme="minorHAnsi" w:hAnsiTheme="minorHAnsi"/>
          <w:sz w:val="20"/>
          <w:szCs w:val="20"/>
        </w:rPr>
        <w:t>CCN51 FEHAP</w:t>
      </w:r>
    </w:p>
    <w:p w:rsidR="00F227F7" w:rsidRPr="00C401FC" w:rsidRDefault="007A5A0B">
      <w:pPr>
        <w:jc w:val="center"/>
        <w:rPr>
          <w:rFonts w:asciiTheme="minorHAnsi" w:hAnsiTheme="minorHAnsi"/>
          <w:sz w:val="20"/>
          <w:szCs w:val="20"/>
        </w:rPr>
      </w:pPr>
      <w:r>
        <w:rPr>
          <w:rFonts w:asciiTheme="minorHAnsi" w:hAnsiTheme="minorHAnsi"/>
          <w:sz w:val="20"/>
          <w:szCs w:val="20"/>
        </w:rPr>
        <w:t>P</w:t>
      </w:r>
      <w:r w:rsidR="00F227F7" w:rsidRPr="00C401FC">
        <w:rPr>
          <w:rFonts w:asciiTheme="minorHAnsi" w:hAnsiTheme="minorHAnsi"/>
          <w:sz w:val="20"/>
          <w:szCs w:val="20"/>
        </w:rPr>
        <w:t>ossibilité de télétravail</w:t>
      </w:r>
    </w:p>
    <w:p w:rsidR="00F227F7" w:rsidRPr="00C401FC" w:rsidRDefault="007A5A0B">
      <w:pPr>
        <w:jc w:val="center"/>
        <w:rPr>
          <w:rFonts w:asciiTheme="minorHAnsi" w:hAnsiTheme="minorHAnsi"/>
          <w:sz w:val="20"/>
          <w:szCs w:val="20"/>
        </w:rPr>
      </w:pPr>
      <w:r>
        <w:rPr>
          <w:rFonts w:asciiTheme="minorHAnsi" w:hAnsiTheme="minorHAnsi"/>
          <w:sz w:val="20"/>
          <w:szCs w:val="20"/>
        </w:rPr>
        <w:t>P</w:t>
      </w:r>
      <w:r w:rsidR="00F227F7" w:rsidRPr="00C401FC">
        <w:rPr>
          <w:rFonts w:asciiTheme="minorHAnsi" w:hAnsiTheme="minorHAnsi"/>
          <w:sz w:val="20"/>
          <w:szCs w:val="20"/>
        </w:rPr>
        <w:t>oste à pourvoir au plus tôt</w:t>
      </w:r>
    </w:p>
    <w:p w:rsidR="00C401FC" w:rsidRPr="0005661A" w:rsidRDefault="00C401FC" w:rsidP="00C401FC">
      <w:pPr>
        <w:numPr>
          <w:ilvl w:val="0"/>
          <w:numId w:val="9"/>
        </w:numPr>
        <w:jc w:val="both"/>
        <w:rPr>
          <w:rFonts w:asciiTheme="minorHAnsi" w:hAnsiTheme="minorHAnsi"/>
          <w:b/>
          <w:sz w:val="20"/>
          <w:szCs w:val="20"/>
          <w:u w:val="single"/>
        </w:rPr>
      </w:pPr>
      <w:r w:rsidRPr="0005661A">
        <w:rPr>
          <w:rFonts w:asciiTheme="minorHAnsi" w:hAnsiTheme="minorHAnsi"/>
          <w:b/>
          <w:sz w:val="20"/>
          <w:szCs w:val="20"/>
          <w:u w:val="single"/>
        </w:rPr>
        <w:t>Mission</w:t>
      </w:r>
    </w:p>
    <w:p w:rsidR="00C401FC" w:rsidRPr="0005661A" w:rsidRDefault="00C401FC" w:rsidP="00C401FC">
      <w:pPr>
        <w:jc w:val="both"/>
        <w:rPr>
          <w:rFonts w:asciiTheme="minorHAnsi" w:hAnsiTheme="minorHAnsi"/>
          <w:sz w:val="20"/>
          <w:szCs w:val="20"/>
        </w:rPr>
      </w:pPr>
    </w:p>
    <w:p w:rsidR="00C401FC" w:rsidRPr="0005661A" w:rsidRDefault="00C401FC" w:rsidP="00C401FC">
      <w:pPr>
        <w:jc w:val="both"/>
        <w:rPr>
          <w:rFonts w:asciiTheme="minorHAnsi" w:hAnsiTheme="minorHAnsi"/>
          <w:sz w:val="20"/>
          <w:szCs w:val="20"/>
        </w:rPr>
      </w:pPr>
      <w:r w:rsidRPr="0005661A">
        <w:rPr>
          <w:rFonts w:asciiTheme="minorHAnsi" w:hAnsiTheme="minorHAnsi"/>
          <w:sz w:val="20"/>
          <w:szCs w:val="20"/>
        </w:rPr>
        <w:t>Le médecin DIM est garant du respect des règles relatives à la confidentialité des informations médicales nominatives, ainsi qu'à la propriété intellectuelle des médecins sur leurs travaux de recherche, comme de celles du code de déontologie.</w:t>
      </w:r>
    </w:p>
    <w:p w:rsidR="00C401FC" w:rsidRPr="0005661A" w:rsidRDefault="00C401FC" w:rsidP="00C401FC">
      <w:pPr>
        <w:jc w:val="both"/>
        <w:rPr>
          <w:rFonts w:asciiTheme="minorHAnsi" w:hAnsiTheme="minorHAnsi"/>
          <w:sz w:val="20"/>
          <w:szCs w:val="20"/>
        </w:rPr>
      </w:pPr>
    </w:p>
    <w:p w:rsidR="00C401FC" w:rsidRPr="0005661A" w:rsidRDefault="00C401FC" w:rsidP="00C401FC">
      <w:pPr>
        <w:jc w:val="both"/>
        <w:rPr>
          <w:rFonts w:asciiTheme="minorHAnsi" w:hAnsiTheme="minorHAnsi"/>
          <w:sz w:val="20"/>
          <w:szCs w:val="20"/>
        </w:rPr>
      </w:pPr>
      <w:r w:rsidRPr="0005661A">
        <w:rPr>
          <w:rFonts w:asciiTheme="minorHAnsi" w:hAnsiTheme="minorHAnsi"/>
          <w:sz w:val="20"/>
          <w:szCs w:val="20"/>
        </w:rPr>
        <w:t xml:space="preserve">Par son intermédiaire, les praticiens de l'établissement ont un droit d'accès et de rectification quant aux informations relatives aux soins qu'ils ont dispensés ou qui ont été dispensés dans une structure médicale ou </w:t>
      </w:r>
      <w:proofErr w:type="spellStart"/>
      <w:r w:rsidRPr="0005661A">
        <w:rPr>
          <w:rFonts w:asciiTheme="minorHAnsi" w:hAnsiTheme="minorHAnsi"/>
          <w:sz w:val="20"/>
          <w:szCs w:val="20"/>
        </w:rPr>
        <w:t>médico-technique</w:t>
      </w:r>
      <w:proofErr w:type="spellEnd"/>
      <w:r w:rsidRPr="0005661A">
        <w:rPr>
          <w:rFonts w:asciiTheme="minorHAnsi" w:hAnsiTheme="minorHAnsi"/>
          <w:sz w:val="20"/>
          <w:szCs w:val="20"/>
        </w:rPr>
        <w:t xml:space="preserve"> dont ils ont la responsabilité.</w:t>
      </w:r>
    </w:p>
    <w:p w:rsidR="00C401FC" w:rsidRPr="0005661A" w:rsidRDefault="00C401FC" w:rsidP="00C401FC">
      <w:pPr>
        <w:suppressAutoHyphens w:val="0"/>
        <w:rPr>
          <w:rFonts w:asciiTheme="minorHAnsi" w:hAnsiTheme="minorHAnsi"/>
          <w:sz w:val="20"/>
          <w:szCs w:val="20"/>
        </w:rPr>
      </w:pPr>
    </w:p>
    <w:p w:rsidR="00C401FC" w:rsidRPr="0005661A" w:rsidRDefault="00C401FC" w:rsidP="00C401FC">
      <w:pPr>
        <w:suppressAutoHyphens w:val="0"/>
        <w:rPr>
          <w:rFonts w:asciiTheme="minorHAnsi" w:hAnsiTheme="minorHAnsi"/>
          <w:sz w:val="20"/>
          <w:szCs w:val="20"/>
        </w:rPr>
      </w:pPr>
      <w:r w:rsidRPr="0005661A">
        <w:rPr>
          <w:rFonts w:asciiTheme="minorHAnsi" w:hAnsiTheme="minorHAnsi"/>
          <w:sz w:val="20"/>
          <w:szCs w:val="20"/>
        </w:rPr>
        <w:t>Le médecin DIM :</w:t>
      </w:r>
    </w:p>
    <w:p w:rsidR="00C401FC" w:rsidRPr="0005661A" w:rsidRDefault="00C401FC" w:rsidP="00C401FC">
      <w:pPr>
        <w:jc w:val="both"/>
        <w:rPr>
          <w:rFonts w:asciiTheme="minorHAnsi" w:hAnsiTheme="minorHAnsi"/>
          <w:sz w:val="20"/>
          <w:szCs w:val="20"/>
        </w:rPr>
      </w:pP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aide et organise la production de l’information médicale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reçoit, valide, analyse l’information médicale nominative des services ;</w:t>
      </w:r>
    </w:p>
    <w:p w:rsidR="00C401FC" w:rsidRPr="00C401FC" w:rsidRDefault="00C401FC" w:rsidP="00C401FC">
      <w:pPr>
        <w:pStyle w:val="Listecouleur-Accent11"/>
        <w:numPr>
          <w:ilvl w:val="0"/>
          <w:numId w:val="8"/>
        </w:numPr>
        <w:spacing w:after="60"/>
        <w:ind w:left="714" w:hanging="357"/>
        <w:jc w:val="both"/>
        <w:rPr>
          <w:rFonts w:asciiTheme="minorHAnsi" w:hAnsiTheme="minorHAnsi"/>
          <w:color w:val="000000" w:themeColor="text1"/>
          <w:sz w:val="20"/>
          <w:szCs w:val="20"/>
        </w:rPr>
      </w:pPr>
      <w:r w:rsidRPr="0005661A">
        <w:rPr>
          <w:rFonts w:asciiTheme="minorHAnsi" w:hAnsiTheme="minorHAnsi"/>
          <w:sz w:val="20"/>
          <w:szCs w:val="20"/>
        </w:rPr>
        <w:t xml:space="preserve">prépare les rapports d’analyse d’activité </w:t>
      </w:r>
      <w:r w:rsidRPr="0005661A">
        <w:rPr>
          <w:rFonts w:asciiTheme="minorHAnsi" w:hAnsiTheme="minorHAnsi"/>
          <w:color w:val="000000" w:themeColor="text1"/>
          <w:sz w:val="20"/>
          <w:szCs w:val="20"/>
        </w:rPr>
        <w:t>hebdomadaire, mensuelle et annuelle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veille à la confidentialité des données, conformément aux recommandations de la Commission Nationale de l'Informatique et des Libertés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participe à la formation de l'ensemble des personnels concernés à la production et à l'utilisation de l'information médicale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assiste les médecins dans leur réflexion sur la qualité des soins notamment par l’accès aux bases de données médicales constituées</w:t>
      </w:r>
      <w:r w:rsidR="00300B49">
        <w:rPr>
          <w:rFonts w:asciiTheme="minorHAnsi" w:hAnsiTheme="minorHAnsi"/>
          <w:sz w:val="20"/>
          <w:szCs w:val="20"/>
        </w:rPr>
        <w:t>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assure la veille réglementaire en matière de tenue du dossier médical et du dossier patient,</w:t>
      </w:r>
      <w:r w:rsidRPr="0005661A">
        <w:rPr>
          <w:rFonts w:asciiTheme="minorHAnsi" w:hAnsiTheme="minorHAnsi"/>
          <w:color w:val="FF0000"/>
          <w:sz w:val="20"/>
          <w:szCs w:val="20"/>
        </w:rPr>
        <w:t xml:space="preserve"> </w:t>
      </w:r>
      <w:r w:rsidRPr="0005661A">
        <w:rPr>
          <w:rFonts w:asciiTheme="minorHAnsi" w:hAnsiTheme="minorHAnsi"/>
          <w:sz w:val="20"/>
          <w:szCs w:val="20"/>
        </w:rPr>
        <w:t>de droits des patients, de respect de la confidentialité des données et du secret médical, du suivi des procédures de recueil du consentement, de la nomination de la personne de confiance</w:t>
      </w:r>
      <w:r>
        <w:rPr>
          <w:rFonts w:asciiTheme="minorHAnsi" w:hAnsiTheme="minorHAnsi"/>
          <w:sz w:val="20"/>
          <w:szCs w:val="20"/>
        </w:rPr>
        <w:t xml:space="preserve">, </w:t>
      </w:r>
      <w:r w:rsidRPr="0005661A">
        <w:rPr>
          <w:rFonts w:asciiTheme="minorHAnsi" w:hAnsiTheme="minorHAnsi"/>
          <w:sz w:val="20"/>
          <w:szCs w:val="20"/>
        </w:rPr>
        <w:t>…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participe à la conception du système d'information médicale</w:t>
      </w:r>
      <w:r w:rsidR="00300B49">
        <w:rPr>
          <w:rFonts w:asciiTheme="minorHAnsi" w:hAnsiTheme="minorHAnsi"/>
          <w:sz w:val="20"/>
          <w:szCs w:val="20"/>
        </w:rPr>
        <w:t>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assure le bon fonctionnement des archives médicales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participe à la construction des indicateurs médico-économiques et aux outils de contrôle de gestion ;</w:t>
      </w:r>
    </w:p>
    <w:p w:rsidR="00C401FC" w:rsidRPr="00C401FC"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représente les intérêts des établissements auprès des autorités compétente</w:t>
      </w:r>
      <w:r>
        <w:rPr>
          <w:rFonts w:asciiTheme="minorHAnsi" w:hAnsiTheme="minorHAnsi"/>
          <w:sz w:val="20"/>
          <w:szCs w:val="20"/>
        </w:rPr>
        <w:t>s </w:t>
      </w:r>
    </w:p>
    <w:p w:rsidR="00C401FC" w:rsidRPr="0005661A" w:rsidRDefault="00C401FC" w:rsidP="00C401FC">
      <w:pPr>
        <w:pStyle w:val="Listecouleur-Accent11"/>
        <w:numPr>
          <w:ilvl w:val="0"/>
          <w:numId w:val="8"/>
        </w:numPr>
        <w:spacing w:after="60"/>
        <w:ind w:left="714" w:hanging="357"/>
        <w:jc w:val="both"/>
        <w:rPr>
          <w:rFonts w:asciiTheme="minorHAnsi" w:hAnsiTheme="minorHAnsi"/>
          <w:sz w:val="20"/>
          <w:szCs w:val="20"/>
        </w:rPr>
      </w:pPr>
      <w:r w:rsidRPr="0005661A">
        <w:rPr>
          <w:rFonts w:asciiTheme="minorHAnsi" w:hAnsiTheme="minorHAnsi"/>
          <w:sz w:val="20"/>
          <w:szCs w:val="20"/>
        </w:rPr>
        <w:t>encadre l’équipe TIM.</w:t>
      </w:r>
    </w:p>
    <w:p w:rsidR="00F227F7" w:rsidRPr="0005661A" w:rsidRDefault="00F227F7">
      <w:pPr>
        <w:rPr>
          <w:rFonts w:asciiTheme="minorHAnsi" w:hAnsiTheme="minorHAnsi" w:cs="Arial"/>
          <w:color w:val="222222"/>
          <w:sz w:val="28"/>
          <w:szCs w:val="28"/>
          <w:shd w:val="clear" w:color="auto" w:fill="FFFFFF"/>
        </w:rPr>
      </w:pPr>
    </w:p>
    <w:p w:rsidR="003B64CF" w:rsidRPr="00300B49" w:rsidRDefault="00F227F7" w:rsidP="00D17356">
      <w:pPr>
        <w:jc w:val="center"/>
        <w:rPr>
          <w:rFonts w:asciiTheme="minorHAnsi" w:hAnsiTheme="minorHAnsi" w:cs="Arial"/>
          <w:color w:val="222222"/>
          <w:sz w:val="18"/>
          <w:szCs w:val="18"/>
          <w:u w:val="single"/>
          <w:shd w:val="clear" w:color="auto" w:fill="FFFFFF"/>
        </w:rPr>
      </w:pPr>
      <w:r w:rsidRPr="00300B49">
        <w:rPr>
          <w:rFonts w:asciiTheme="minorHAnsi" w:hAnsiTheme="minorHAnsi" w:cs="Arial"/>
          <w:color w:val="222222"/>
          <w:sz w:val="18"/>
          <w:szCs w:val="18"/>
          <w:u w:val="single"/>
          <w:shd w:val="clear" w:color="auto" w:fill="FFFFFF"/>
        </w:rPr>
        <w:t xml:space="preserve">Nous vous remercions d’adresser vos candidatures </w:t>
      </w:r>
      <w:r w:rsidR="007E0153">
        <w:rPr>
          <w:rFonts w:asciiTheme="minorHAnsi" w:hAnsiTheme="minorHAnsi" w:cs="Arial"/>
          <w:color w:val="222222"/>
          <w:sz w:val="18"/>
          <w:szCs w:val="18"/>
          <w:u w:val="single"/>
          <w:shd w:val="clear" w:color="auto" w:fill="FFFFFF"/>
        </w:rPr>
        <w:t xml:space="preserve">ou demandes de renseignements complémentaires </w:t>
      </w:r>
      <w:r w:rsidRPr="00300B49">
        <w:rPr>
          <w:rFonts w:asciiTheme="minorHAnsi" w:hAnsiTheme="minorHAnsi" w:cs="Arial"/>
          <w:color w:val="222222"/>
          <w:sz w:val="18"/>
          <w:szCs w:val="18"/>
          <w:u w:val="single"/>
          <w:shd w:val="clear" w:color="auto" w:fill="FFFFFF"/>
        </w:rPr>
        <w:t>à l’adresse suivante</w:t>
      </w:r>
      <w:r w:rsidR="006E1689" w:rsidRPr="00300B49">
        <w:rPr>
          <w:rFonts w:asciiTheme="minorHAnsi" w:hAnsiTheme="minorHAnsi" w:cs="Arial"/>
          <w:color w:val="222222"/>
          <w:sz w:val="18"/>
          <w:szCs w:val="18"/>
          <w:u w:val="single"/>
          <w:shd w:val="clear" w:color="auto" w:fill="FFFFFF"/>
        </w:rPr>
        <w:t> :</w:t>
      </w:r>
    </w:p>
    <w:p w:rsidR="006E1689" w:rsidRPr="007E0153" w:rsidRDefault="006E1689" w:rsidP="007E0153">
      <w:pPr>
        <w:tabs>
          <w:tab w:val="left" w:pos="470"/>
          <w:tab w:val="left" w:pos="900"/>
          <w:tab w:val="left" w:pos="1134"/>
          <w:tab w:val="left" w:pos="1260"/>
          <w:tab w:val="left" w:pos="5040"/>
        </w:tabs>
        <w:suppressAutoHyphens w:val="0"/>
        <w:overflowPunct w:val="0"/>
        <w:autoSpaceDE w:val="0"/>
        <w:adjustRightInd w:val="0"/>
        <w:ind w:left="432" w:right="108"/>
        <w:jc w:val="center"/>
        <w:rPr>
          <w:rFonts w:asciiTheme="minorHAnsi" w:hAnsiTheme="minorHAnsi" w:cs="Arial"/>
          <w:b/>
          <w:color w:val="333333"/>
          <w:sz w:val="18"/>
          <w:szCs w:val="18"/>
          <w:shd w:val="clear" w:color="auto" w:fill="FFFFFF"/>
        </w:rPr>
      </w:pPr>
      <w:r w:rsidRPr="007E0153">
        <w:rPr>
          <w:rFonts w:asciiTheme="minorHAnsi" w:hAnsiTheme="minorHAnsi" w:cs="Arial"/>
          <w:b/>
          <w:color w:val="333333"/>
          <w:sz w:val="18"/>
          <w:szCs w:val="18"/>
          <w:shd w:val="clear" w:color="auto" w:fill="FFFFFF"/>
        </w:rPr>
        <w:t>FONDATION ILDYS</w:t>
      </w:r>
    </w:p>
    <w:p w:rsidR="006E1689" w:rsidRPr="007A5A0B" w:rsidRDefault="006E1689" w:rsidP="006E1689">
      <w:pPr>
        <w:tabs>
          <w:tab w:val="left" w:pos="470"/>
          <w:tab w:val="left" w:pos="900"/>
          <w:tab w:val="left" w:pos="1134"/>
          <w:tab w:val="left" w:pos="1260"/>
          <w:tab w:val="left" w:pos="5040"/>
        </w:tabs>
        <w:suppressAutoHyphens w:val="0"/>
        <w:overflowPunct w:val="0"/>
        <w:autoSpaceDE w:val="0"/>
        <w:adjustRightInd w:val="0"/>
        <w:ind w:left="432" w:right="108"/>
        <w:jc w:val="center"/>
        <w:rPr>
          <w:rFonts w:asciiTheme="minorHAnsi" w:hAnsiTheme="minorHAnsi" w:cs="Arial"/>
          <w:b/>
          <w:color w:val="333333"/>
          <w:sz w:val="18"/>
          <w:szCs w:val="18"/>
          <w:shd w:val="clear" w:color="auto" w:fill="FFFFFF"/>
        </w:rPr>
      </w:pPr>
      <w:r w:rsidRPr="007A5A0B">
        <w:rPr>
          <w:rFonts w:asciiTheme="minorHAnsi" w:hAnsiTheme="minorHAnsi" w:cs="Arial"/>
          <w:b/>
          <w:color w:val="333333"/>
          <w:sz w:val="18"/>
          <w:szCs w:val="18"/>
          <w:shd w:val="clear" w:color="auto" w:fill="FFFFFF"/>
        </w:rPr>
        <w:t xml:space="preserve">M. </w:t>
      </w:r>
      <w:r w:rsidR="007A5A0B">
        <w:rPr>
          <w:rFonts w:asciiTheme="minorHAnsi" w:hAnsiTheme="minorHAnsi" w:cs="Arial"/>
          <w:b/>
          <w:color w:val="333333"/>
          <w:sz w:val="18"/>
          <w:szCs w:val="18"/>
          <w:shd w:val="clear" w:color="auto" w:fill="FFFFFF"/>
        </w:rPr>
        <w:t xml:space="preserve">David </w:t>
      </w:r>
      <w:r w:rsidRPr="007A5A0B">
        <w:rPr>
          <w:rFonts w:asciiTheme="minorHAnsi" w:hAnsiTheme="minorHAnsi" w:cs="Arial"/>
          <w:b/>
          <w:color w:val="333333"/>
          <w:sz w:val="18"/>
          <w:szCs w:val="18"/>
          <w:shd w:val="clear" w:color="auto" w:fill="FFFFFF"/>
        </w:rPr>
        <w:t>COGEN</w:t>
      </w:r>
    </w:p>
    <w:p w:rsidR="006E1689" w:rsidRPr="00300B49" w:rsidRDefault="003B64CF" w:rsidP="006E1689">
      <w:pPr>
        <w:tabs>
          <w:tab w:val="left" w:pos="470"/>
          <w:tab w:val="left" w:pos="900"/>
          <w:tab w:val="left" w:pos="1134"/>
          <w:tab w:val="left" w:pos="1260"/>
          <w:tab w:val="left" w:pos="5040"/>
        </w:tabs>
        <w:suppressAutoHyphens w:val="0"/>
        <w:overflowPunct w:val="0"/>
        <w:autoSpaceDE w:val="0"/>
        <w:adjustRightInd w:val="0"/>
        <w:ind w:left="432" w:right="108"/>
        <w:jc w:val="center"/>
        <w:rPr>
          <w:rFonts w:asciiTheme="minorHAnsi" w:hAnsiTheme="minorHAnsi" w:cs="Arial"/>
          <w:color w:val="333333"/>
          <w:sz w:val="18"/>
          <w:szCs w:val="18"/>
          <w:shd w:val="clear" w:color="auto" w:fill="FFFFFF"/>
        </w:rPr>
      </w:pPr>
      <w:r w:rsidRPr="00300B49">
        <w:rPr>
          <w:rFonts w:asciiTheme="minorHAnsi" w:hAnsiTheme="minorHAnsi" w:cs="Arial"/>
          <w:color w:val="333333"/>
          <w:sz w:val="18"/>
          <w:szCs w:val="18"/>
          <w:shd w:val="clear" w:color="auto" w:fill="FFFFFF"/>
        </w:rPr>
        <w:t xml:space="preserve">Directeur des Ressources Humaines </w:t>
      </w:r>
      <w:r w:rsidRPr="00300B49">
        <w:rPr>
          <w:rFonts w:asciiTheme="minorHAnsi" w:hAnsiTheme="minorHAnsi" w:cs="Arial"/>
          <w:color w:val="333333"/>
          <w:sz w:val="18"/>
          <w:szCs w:val="18"/>
        </w:rPr>
        <w:br/>
      </w:r>
      <w:r w:rsidRPr="00300B49">
        <w:rPr>
          <w:rFonts w:asciiTheme="minorHAnsi" w:hAnsiTheme="minorHAnsi" w:cs="Arial"/>
          <w:color w:val="333333"/>
          <w:sz w:val="18"/>
          <w:szCs w:val="18"/>
          <w:shd w:val="clear" w:color="auto" w:fill="FFFFFF"/>
        </w:rPr>
        <w:t xml:space="preserve">Presqu'île de </w:t>
      </w:r>
      <w:proofErr w:type="spellStart"/>
      <w:r w:rsidRPr="00300B49">
        <w:rPr>
          <w:rFonts w:asciiTheme="minorHAnsi" w:hAnsiTheme="minorHAnsi" w:cs="Arial"/>
          <w:color w:val="333333"/>
          <w:sz w:val="18"/>
          <w:szCs w:val="18"/>
          <w:shd w:val="clear" w:color="auto" w:fill="FFFFFF"/>
        </w:rPr>
        <w:t>Perharidy</w:t>
      </w:r>
      <w:proofErr w:type="spellEnd"/>
    </w:p>
    <w:p w:rsidR="006E1689" w:rsidRPr="00300B49" w:rsidRDefault="003B64CF" w:rsidP="006E1689">
      <w:pPr>
        <w:tabs>
          <w:tab w:val="left" w:pos="470"/>
          <w:tab w:val="left" w:pos="900"/>
          <w:tab w:val="left" w:pos="1134"/>
          <w:tab w:val="left" w:pos="1260"/>
          <w:tab w:val="left" w:pos="5040"/>
        </w:tabs>
        <w:suppressAutoHyphens w:val="0"/>
        <w:overflowPunct w:val="0"/>
        <w:autoSpaceDE w:val="0"/>
        <w:adjustRightInd w:val="0"/>
        <w:ind w:left="432" w:right="108"/>
        <w:jc w:val="center"/>
        <w:rPr>
          <w:rFonts w:asciiTheme="minorHAnsi" w:hAnsiTheme="minorHAnsi" w:cs="Arial"/>
          <w:color w:val="333333"/>
          <w:sz w:val="18"/>
          <w:szCs w:val="18"/>
          <w:shd w:val="clear" w:color="auto" w:fill="FFFFFF"/>
        </w:rPr>
      </w:pPr>
      <w:r w:rsidRPr="00300B49">
        <w:rPr>
          <w:rFonts w:asciiTheme="minorHAnsi" w:hAnsiTheme="minorHAnsi" w:cs="Arial"/>
          <w:color w:val="333333"/>
          <w:sz w:val="18"/>
          <w:szCs w:val="18"/>
          <w:shd w:val="clear" w:color="auto" w:fill="FFFFFF"/>
        </w:rPr>
        <w:t>29684 Roscoff Cedex</w:t>
      </w:r>
    </w:p>
    <w:p w:rsidR="00F227F7" w:rsidRPr="00300B49" w:rsidRDefault="006E1689" w:rsidP="006E1689">
      <w:pPr>
        <w:tabs>
          <w:tab w:val="left" w:pos="470"/>
          <w:tab w:val="left" w:pos="900"/>
          <w:tab w:val="left" w:pos="1134"/>
          <w:tab w:val="left" w:pos="1260"/>
          <w:tab w:val="left" w:pos="5040"/>
        </w:tabs>
        <w:suppressAutoHyphens w:val="0"/>
        <w:overflowPunct w:val="0"/>
        <w:autoSpaceDE w:val="0"/>
        <w:adjustRightInd w:val="0"/>
        <w:ind w:left="432" w:right="108"/>
        <w:jc w:val="center"/>
        <w:rPr>
          <w:rFonts w:asciiTheme="minorHAnsi" w:eastAsia="Times New Roman" w:hAnsiTheme="minorHAnsi"/>
          <w:sz w:val="18"/>
          <w:szCs w:val="18"/>
          <w:lang w:eastAsia="fr-FR"/>
        </w:rPr>
      </w:pPr>
      <w:r w:rsidRPr="00300B49">
        <w:rPr>
          <w:rFonts w:asciiTheme="minorHAnsi" w:hAnsiTheme="minorHAnsi" w:cs="Arial"/>
          <w:color w:val="333333"/>
          <w:sz w:val="18"/>
          <w:szCs w:val="18"/>
          <w:shd w:val="clear" w:color="auto" w:fill="FFFFFF"/>
        </w:rPr>
        <w:t>O</w:t>
      </w:r>
      <w:r w:rsidR="003B64CF" w:rsidRPr="00300B49">
        <w:rPr>
          <w:rFonts w:asciiTheme="minorHAnsi" w:hAnsiTheme="minorHAnsi" w:cs="Arial"/>
          <w:color w:val="333333"/>
          <w:sz w:val="18"/>
          <w:szCs w:val="18"/>
          <w:shd w:val="clear" w:color="auto" w:fill="FFFFFF"/>
        </w:rPr>
        <w:t>u</w:t>
      </w:r>
      <w:r w:rsidRPr="00300B49">
        <w:rPr>
          <w:rFonts w:asciiTheme="minorHAnsi" w:hAnsiTheme="minorHAnsi" w:cs="Arial"/>
          <w:color w:val="333333"/>
          <w:sz w:val="18"/>
          <w:szCs w:val="18"/>
          <w:shd w:val="clear" w:color="auto" w:fill="FFFFFF"/>
        </w:rPr>
        <w:t xml:space="preserve"> </w:t>
      </w:r>
      <w:hyperlink r:id="rId10" w:history="1">
        <w:r w:rsidR="003B64CF" w:rsidRPr="00300B49">
          <w:rPr>
            <w:rStyle w:val="Lienhypertexte"/>
            <w:rFonts w:asciiTheme="minorHAnsi" w:hAnsiTheme="minorHAnsi" w:cs="Arial"/>
            <w:color w:val="3A66AF"/>
            <w:sz w:val="18"/>
            <w:szCs w:val="18"/>
            <w:u w:val="none"/>
            <w:bdr w:val="none" w:sz="0" w:space="0" w:color="auto" w:frame="1"/>
            <w:shd w:val="clear" w:color="auto" w:fill="FFFFFF"/>
          </w:rPr>
          <w:t>ressources.humaines@ildys.org</w:t>
        </w:r>
      </w:hyperlink>
    </w:p>
    <w:p w:rsidR="00F227F7" w:rsidRPr="00054F12" w:rsidRDefault="00F227F7" w:rsidP="00054F12">
      <w:pPr>
        <w:suppressAutoHyphens w:val="0"/>
        <w:rPr>
          <w:rFonts w:asciiTheme="minorHAnsi" w:eastAsia="Times New Roman" w:hAnsiTheme="minorHAnsi"/>
          <w:b/>
          <w:lang w:eastAsia="fr-FR"/>
        </w:rPr>
      </w:pPr>
      <w:bookmarkStart w:id="0" w:name="_GoBack"/>
      <w:bookmarkEnd w:id="0"/>
    </w:p>
    <w:sectPr w:rsidR="00F227F7" w:rsidRPr="00054F12" w:rsidSect="00054F12">
      <w:pgSz w:w="11906" w:h="16838"/>
      <w:pgMar w:top="396" w:right="1418" w:bottom="851" w:left="1418" w:header="42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099" w:rsidRDefault="00846099">
      <w:r>
        <w:separator/>
      </w:r>
    </w:p>
  </w:endnote>
  <w:endnote w:type="continuationSeparator" w:id="0">
    <w:p w:rsidR="00846099" w:rsidRDefault="0084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099" w:rsidRDefault="00846099">
      <w:r>
        <w:rPr>
          <w:color w:val="000000"/>
        </w:rPr>
        <w:separator/>
      </w:r>
    </w:p>
  </w:footnote>
  <w:footnote w:type="continuationSeparator" w:id="0">
    <w:p w:rsidR="00846099" w:rsidRDefault="0084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A7D"/>
    <w:multiLevelType w:val="hybridMultilevel"/>
    <w:tmpl w:val="6B1693EC"/>
    <w:lvl w:ilvl="0" w:tplc="5F5485A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8A5BBB"/>
    <w:multiLevelType w:val="hybridMultilevel"/>
    <w:tmpl w:val="815C2D4A"/>
    <w:lvl w:ilvl="0" w:tplc="57107E5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EF7CF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46DC1EB2"/>
    <w:multiLevelType w:val="hybridMultilevel"/>
    <w:tmpl w:val="A088311A"/>
    <w:lvl w:ilvl="0" w:tplc="57107E5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D13FF3"/>
    <w:multiLevelType w:val="hybridMultilevel"/>
    <w:tmpl w:val="9E6290CA"/>
    <w:lvl w:ilvl="0" w:tplc="4E0ECBA2">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nsid w:val="551F42A4"/>
    <w:multiLevelType w:val="hybridMultilevel"/>
    <w:tmpl w:val="AC8C0C42"/>
    <w:lvl w:ilvl="0" w:tplc="57107E5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BF11FE"/>
    <w:multiLevelType w:val="hybridMultilevel"/>
    <w:tmpl w:val="956024EA"/>
    <w:lvl w:ilvl="0" w:tplc="C250339E">
      <w:start w:val="987"/>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0AD5F81"/>
    <w:multiLevelType w:val="hybridMultilevel"/>
    <w:tmpl w:val="6BB45A0E"/>
    <w:lvl w:ilvl="0" w:tplc="57107E5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C17F11"/>
    <w:multiLevelType w:val="hybridMultilevel"/>
    <w:tmpl w:val="101A1AD0"/>
    <w:lvl w:ilvl="0" w:tplc="57107E5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94"/>
    <w:rsid w:val="00054F12"/>
    <w:rsid w:val="0005661A"/>
    <w:rsid w:val="001E27FE"/>
    <w:rsid w:val="002B2146"/>
    <w:rsid w:val="00300B49"/>
    <w:rsid w:val="003B64CF"/>
    <w:rsid w:val="003C36F3"/>
    <w:rsid w:val="006078DB"/>
    <w:rsid w:val="006E1689"/>
    <w:rsid w:val="007A5A0B"/>
    <w:rsid w:val="007E0153"/>
    <w:rsid w:val="00846099"/>
    <w:rsid w:val="008B2094"/>
    <w:rsid w:val="0094576F"/>
    <w:rsid w:val="00A6264B"/>
    <w:rsid w:val="00B041EB"/>
    <w:rsid w:val="00C401FC"/>
    <w:rsid w:val="00D17356"/>
    <w:rsid w:val="00D474B3"/>
    <w:rsid w:val="00E867B6"/>
    <w:rsid w:val="00F227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FE"/>
    <w:pPr>
      <w:suppressAutoHyphens/>
      <w:autoSpaceDN w:val="0"/>
      <w:textAlignment w:val="baseline"/>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E27FE"/>
    <w:rPr>
      <w:color w:val="0563C1"/>
      <w:u w:val="single"/>
    </w:rPr>
  </w:style>
  <w:style w:type="paragraph" w:customStyle="1" w:styleId="Listecouleur-Accent11">
    <w:name w:val="Liste couleur - Accent 11"/>
    <w:basedOn w:val="Normal"/>
    <w:uiPriority w:val="34"/>
    <w:qFormat/>
    <w:rsid w:val="00276AA9"/>
    <w:pPr>
      <w:ind w:left="720"/>
      <w:contextualSpacing/>
    </w:pPr>
  </w:style>
  <w:style w:type="paragraph" w:styleId="En-tte">
    <w:name w:val="header"/>
    <w:basedOn w:val="Normal"/>
    <w:link w:val="En-tteCar"/>
    <w:uiPriority w:val="99"/>
    <w:unhideWhenUsed/>
    <w:rsid w:val="00D37168"/>
    <w:pPr>
      <w:tabs>
        <w:tab w:val="center" w:pos="4536"/>
        <w:tab w:val="right" w:pos="9072"/>
      </w:tabs>
    </w:pPr>
  </w:style>
  <w:style w:type="character" w:customStyle="1" w:styleId="En-tteCar">
    <w:name w:val="En-tête Car"/>
    <w:basedOn w:val="Policepardfaut"/>
    <w:link w:val="En-tte"/>
    <w:uiPriority w:val="99"/>
    <w:rsid w:val="00D37168"/>
  </w:style>
  <w:style w:type="paragraph" w:styleId="Pieddepage">
    <w:name w:val="footer"/>
    <w:basedOn w:val="Normal"/>
    <w:link w:val="PieddepageCar"/>
    <w:uiPriority w:val="99"/>
    <w:unhideWhenUsed/>
    <w:rsid w:val="00D37168"/>
    <w:pPr>
      <w:tabs>
        <w:tab w:val="center" w:pos="4536"/>
        <w:tab w:val="right" w:pos="9072"/>
      </w:tabs>
    </w:pPr>
  </w:style>
  <w:style w:type="character" w:customStyle="1" w:styleId="PieddepageCar">
    <w:name w:val="Pied de page Car"/>
    <w:basedOn w:val="Policepardfaut"/>
    <w:link w:val="Pieddepage"/>
    <w:uiPriority w:val="99"/>
    <w:rsid w:val="00D37168"/>
  </w:style>
  <w:style w:type="paragraph" w:styleId="Textedebulles">
    <w:name w:val="Balloon Text"/>
    <w:basedOn w:val="Normal"/>
    <w:link w:val="TextedebullesCar"/>
    <w:uiPriority w:val="99"/>
    <w:semiHidden/>
    <w:unhideWhenUsed/>
    <w:rsid w:val="003C36F3"/>
    <w:rPr>
      <w:rFonts w:ascii="Tahoma" w:hAnsi="Tahoma" w:cs="Tahoma"/>
      <w:sz w:val="16"/>
      <w:szCs w:val="16"/>
    </w:rPr>
  </w:style>
  <w:style w:type="character" w:customStyle="1" w:styleId="TextedebullesCar">
    <w:name w:val="Texte de bulles Car"/>
    <w:basedOn w:val="Policepardfaut"/>
    <w:link w:val="Textedebulles"/>
    <w:uiPriority w:val="99"/>
    <w:semiHidden/>
    <w:rsid w:val="003C36F3"/>
    <w:rPr>
      <w:rFonts w:ascii="Tahoma" w:hAnsi="Tahoma" w:cs="Tahoma"/>
      <w:sz w:val="16"/>
      <w:szCs w:val="16"/>
      <w:lang w:eastAsia="en-US"/>
    </w:rPr>
  </w:style>
  <w:style w:type="paragraph" w:styleId="Paragraphedeliste">
    <w:name w:val="List Paragraph"/>
    <w:basedOn w:val="Normal"/>
    <w:uiPriority w:val="34"/>
    <w:qFormat/>
    <w:rsid w:val="000566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FE"/>
    <w:pPr>
      <w:suppressAutoHyphens/>
      <w:autoSpaceDN w:val="0"/>
      <w:textAlignment w:val="baseline"/>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1E27FE"/>
    <w:rPr>
      <w:color w:val="0563C1"/>
      <w:u w:val="single"/>
    </w:rPr>
  </w:style>
  <w:style w:type="paragraph" w:customStyle="1" w:styleId="Listecouleur-Accent11">
    <w:name w:val="Liste couleur - Accent 11"/>
    <w:basedOn w:val="Normal"/>
    <w:uiPriority w:val="34"/>
    <w:qFormat/>
    <w:rsid w:val="00276AA9"/>
    <w:pPr>
      <w:ind w:left="720"/>
      <w:contextualSpacing/>
    </w:pPr>
  </w:style>
  <w:style w:type="paragraph" w:styleId="En-tte">
    <w:name w:val="header"/>
    <w:basedOn w:val="Normal"/>
    <w:link w:val="En-tteCar"/>
    <w:uiPriority w:val="99"/>
    <w:unhideWhenUsed/>
    <w:rsid w:val="00D37168"/>
    <w:pPr>
      <w:tabs>
        <w:tab w:val="center" w:pos="4536"/>
        <w:tab w:val="right" w:pos="9072"/>
      </w:tabs>
    </w:pPr>
  </w:style>
  <w:style w:type="character" w:customStyle="1" w:styleId="En-tteCar">
    <w:name w:val="En-tête Car"/>
    <w:basedOn w:val="Policepardfaut"/>
    <w:link w:val="En-tte"/>
    <w:uiPriority w:val="99"/>
    <w:rsid w:val="00D37168"/>
  </w:style>
  <w:style w:type="paragraph" w:styleId="Pieddepage">
    <w:name w:val="footer"/>
    <w:basedOn w:val="Normal"/>
    <w:link w:val="PieddepageCar"/>
    <w:uiPriority w:val="99"/>
    <w:unhideWhenUsed/>
    <w:rsid w:val="00D37168"/>
    <w:pPr>
      <w:tabs>
        <w:tab w:val="center" w:pos="4536"/>
        <w:tab w:val="right" w:pos="9072"/>
      </w:tabs>
    </w:pPr>
  </w:style>
  <w:style w:type="character" w:customStyle="1" w:styleId="PieddepageCar">
    <w:name w:val="Pied de page Car"/>
    <w:basedOn w:val="Policepardfaut"/>
    <w:link w:val="Pieddepage"/>
    <w:uiPriority w:val="99"/>
    <w:rsid w:val="00D37168"/>
  </w:style>
  <w:style w:type="paragraph" w:styleId="Textedebulles">
    <w:name w:val="Balloon Text"/>
    <w:basedOn w:val="Normal"/>
    <w:link w:val="TextedebullesCar"/>
    <w:uiPriority w:val="99"/>
    <w:semiHidden/>
    <w:unhideWhenUsed/>
    <w:rsid w:val="003C36F3"/>
    <w:rPr>
      <w:rFonts w:ascii="Tahoma" w:hAnsi="Tahoma" w:cs="Tahoma"/>
      <w:sz w:val="16"/>
      <w:szCs w:val="16"/>
    </w:rPr>
  </w:style>
  <w:style w:type="character" w:customStyle="1" w:styleId="TextedebullesCar">
    <w:name w:val="Texte de bulles Car"/>
    <w:basedOn w:val="Policepardfaut"/>
    <w:link w:val="Textedebulles"/>
    <w:uiPriority w:val="99"/>
    <w:semiHidden/>
    <w:rsid w:val="003C36F3"/>
    <w:rPr>
      <w:rFonts w:ascii="Tahoma" w:hAnsi="Tahoma" w:cs="Tahoma"/>
      <w:sz w:val="16"/>
      <w:szCs w:val="16"/>
      <w:lang w:eastAsia="en-US"/>
    </w:rPr>
  </w:style>
  <w:style w:type="paragraph" w:styleId="Paragraphedeliste">
    <w:name w:val="List Paragraph"/>
    <w:basedOn w:val="Normal"/>
    <w:uiPriority w:val="34"/>
    <w:qFormat/>
    <w:rsid w:val="0005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sources.humaines@ildys.org?subject=Candidature%20OuestJob%20pour%20l%E2%80%99annonce%20Cadre%20de%20Sant%C3%A9%20Service%20Soins%20de%20Suite%20et%20de%20R%C3%A9adaptation%20Nutritionnels%20et%20Respiratoires%20H/F%20-%20OJ/CS/29R"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2360</Characters>
  <Application>Microsoft Office Word</Application>
  <DocSecurity>4</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Fondation ILDYS</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BENETEAU Guillaume</dc:creator>
  <cp:lastModifiedBy>secretaire.rh</cp:lastModifiedBy>
  <cp:revision>2</cp:revision>
  <cp:lastPrinted>2017-05-17T09:00:00Z</cp:lastPrinted>
  <dcterms:created xsi:type="dcterms:W3CDTF">2017-06-01T14:39:00Z</dcterms:created>
  <dcterms:modified xsi:type="dcterms:W3CDTF">2017-06-01T14:39:00Z</dcterms:modified>
</cp:coreProperties>
</file>