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2825115</wp:posOffset>
            </wp:positionH>
            <wp:positionV relativeFrom="paragraph">
              <wp:posOffset>0</wp:posOffset>
            </wp:positionV>
            <wp:extent cx="1191895" cy="636905"/>
            <wp:effectExtent l="19050" t="0" r="8255" b="0"/>
            <wp:wrapSquare wrapText="lef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:rsidR="00642EFB" w:rsidRPr="007734A8" w:rsidRDefault="00642EFB" w:rsidP="00CD30C0">
      <w:pPr>
        <w:jc w:val="center"/>
        <w:outlineLvl w:val="0"/>
        <w:rPr>
          <w:rFonts w:ascii="Times New Roman" w:hAnsi="Times New Roman" w:cs="Times New Roman"/>
          <w:bCs/>
        </w:rPr>
      </w:pPr>
      <w:r w:rsidRPr="007734A8">
        <w:rPr>
          <w:rFonts w:ascii="Times New Roman" w:hAnsi="Times New Roman" w:cs="Times New Roman"/>
          <w:bCs/>
        </w:rPr>
        <w:t xml:space="preserve">Ministère </w:t>
      </w:r>
      <w:r>
        <w:rPr>
          <w:rFonts w:ascii="Times New Roman" w:hAnsi="Times New Roman" w:cs="Times New Roman"/>
          <w:sz w:val="20"/>
          <w:szCs w:val="20"/>
        </w:rPr>
        <w:t>des Affaires Sociales, de la Santé et des droits des femmes</w:t>
      </w:r>
    </w:p>
    <w:p w:rsidR="00642EFB" w:rsidRPr="007734A8" w:rsidRDefault="00642EFB" w:rsidP="00642EFB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  <w:shd w:val="clear" w:color="auto" w:fill="E0E0E0"/>
          </w:tcPr>
          <w:p w:rsidR="00642EFB" w:rsidRPr="00603981" w:rsidRDefault="00642EFB" w:rsidP="007734A8">
            <w:pPr>
              <w:pStyle w:val="En-tte"/>
              <w:rPr>
                <w:rStyle w:val="Fort"/>
                <w:b w:val="0"/>
                <w:sz w:val="20"/>
                <w:szCs w:val="20"/>
              </w:rPr>
            </w:pPr>
            <w:r w:rsidRPr="00603981">
              <w:rPr>
                <w:b/>
                <w:bCs/>
              </w:rPr>
              <w:t xml:space="preserve">INTITULE DU POSTE </w:t>
            </w:r>
            <w:r w:rsidRPr="00603981">
              <w:rPr>
                <w:rFonts w:ascii="Arial" w:hAnsi="Arial"/>
                <w:position w:val="10"/>
                <w:sz w:val="13"/>
              </w:rPr>
              <w:t>(1)</w:t>
            </w:r>
          </w:p>
        </w:tc>
      </w:tr>
      <w:tr w:rsidR="00642EFB" w:rsidRPr="00603981" w:rsidTr="007734A8">
        <w:tc>
          <w:tcPr>
            <w:tcW w:w="10912" w:type="dxa"/>
          </w:tcPr>
          <w:p w:rsidR="00642EFB" w:rsidRDefault="00642EFB" w:rsidP="007734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163E">
              <w:rPr>
                <w:b/>
                <w:bCs/>
                <w:sz w:val="28"/>
                <w:szCs w:val="28"/>
              </w:rPr>
              <w:t>Chargé</w:t>
            </w:r>
            <w:r>
              <w:rPr>
                <w:b/>
                <w:bCs/>
                <w:sz w:val="28"/>
                <w:szCs w:val="28"/>
              </w:rPr>
              <w:t>(e)</w:t>
            </w:r>
            <w:r w:rsidRPr="0068163E">
              <w:rPr>
                <w:b/>
                <w:bCs/>
                <w:sz w:val="28"/>
                <w:szCs w:val="28"/>
              </w:rPr>
              <w:t xml:space="preserve"> de mission </w:t>
            </w:r>
          </w:p>
          <w:p w:rsidR="00642EFB" w:rsidRDefault="00642EFB" w:rsidP="007734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 </w:t>
            </w:r>
            <w:r w:rsidRPr="00642EFB">
              <w:rPr>
                <w:b/>
                <w:bCs/>
                <w:sz w:val="28"/>
                <w:szCs w:val="28"/>
              </w:rPr>
              <w:t xml:space="preserve">Facturation </w:t>
            </w:r>
            <w:r w:rsidR="001E364C">
              <w:rPr>
                <w:b/>
                <w:bCs/>
                <w:sz w:val="28"/>
                <w:szCs w:val="28"/>
              </w:rPr>
              <w:t>des établissements de santé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642EFB" w:rsidRPr="00B30784" w:rsidRDefault="00642EFB" w:rsidP="007734A8">
            <w:pPr>
              <w:jc w:val="center"/>
              <w:rPr>
                <w:rStyle w:val="Fort"/>
                <w:b w:val="0"/>
                <w:sz w:val="20"/>
                <w:szCs w:val="20"/>
              </w:rPr>
            </w:pPr>
            <w:r w:rsidRPr="002369C5">
              <w:rPr>
                <w:b/>
                <w:bCs/>
                <w:sz w:val="24"/>
                <w:szCs w:val="24"/>
              </w:rPr>
              <w:t>H/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B30784">
              <w:rPr>
                <w:rStyle w:val="Fort"/>
                <w:b w:val="0"/>
                <w:sz w:val="20"/>
                <w:szCs w:val="20"/>
              </w:rPr>
              <w:t xml:space="preserve"> </w:t>
            </w:r>
          </w:p>
        </w:tc>
      </w:tr>
    </w:tbl>
    <w:p w:rsidR="00642EFB" w:rsidRDefault="00642EFB" w:rsidP="00642EFB">
      <w:pPr>
        <w:pStyle w:val="En-tte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pStyle w:val="En-tte"/>
              <w:rPr>
                <w:b/>
                <w:bCs/>
                <w:color w:val="008000"/>
                <w:sz w:val="18"/>
                <w:szCs w:val="18"/>
              </w:rPr>
            </w:pPr>
            <w:r w:rsidRPr="00603981">
              <w:rPr>
                <w:b/>
                <w:bCs/>
                <w:color w:val="008000"/>
              </w:rPr>
              <w:t xml:space="preserve">Référence Répertoire Ministériel des Métiers </w:t>
            </w:r>
            <w:r w:rsidRPr="00603981">
              <w:rPr>
                <w:b/>
                <w:bCs/>
                <w:color w:val="008000"/>
                <w:sz w:val="18"/>
                <w:szCs w:val="18"/>
              </w:rPr>
              <w:t>(en cours)</w:t>
            </w:r>
          </w:p>
          <w:p w:rsidR="00642EFB" w:rsidRPr="00603981" w:rsidRDefault="00642EFB" w:rsidP="007734A8">
            <w:pPr>
              <w:pStyle w:val="En-tte"/>
              <w:rPr>
                <w:b/>
                <w:bCs/>
              </w:rPr>
            </w:pPr>
            <w:r w:rsidRPr="00603981">
              <w:rPr>
                <w:b/>
                <w:bCs/>
              </w:rPr>
              <w:t>RÉFÉRENCE RIME (</w:t>
            </w:r>
            <w:hyperlink r:id="rId8" w:history="1">
              <w:r w:rsidRPr="00603981">
                <w:rPr>
                  <w:rStyle w:val="Lienhypertexte"/>
                  <w:b/>
                  <w:bCs/>
                  <w:sz w:val="16"/>
                  <w:szCs w:val="16"/>
                </w:rPr>
                <w:t>Répertoire Interministériel des Métiers de l’Etat</w:t>
              </w:r>
            </w:hyperlink>
            <w:r w:rsidRPr="00603981">
              <w:rPr>
                <w:b/>
                <w:bCs/>
              </w:rPr>
              <w:t>)</w:t>
            </w:r>
            <w:r w:rsidRPr="00603981">
              <w:rPr>
                <w:rFonts w:ascii="Arial" w:hAnsi="Arial"/>
                <w:position w:val="6"/>
                <w:sz w:val="13"/>
              </w:rPr>
              <w:t xml:space="preserve"> (2)</w:t>
            </w:r>
          </w:p>
          <w:p w:rsidR="00642EFB" w:rsidRPr="00603981" w:rsidRDefault="00642EFB" w:rsidP="007734A8">
            <w:pPr>
              <w:pStyle w:val="En-tte"/>
              <w:rPr>
                <w:sz w:val="18"/>
                <w:szCs w:val="18"/>
              </w:rPr>
            </w:pPr>
          </w:p>
        </w:tc>
      </w:tr>
      <w:tr w:rsidR="00642EFB" w:rsidRPr="00603981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</w:tcPr>
          <w:p w:rsidR="00642EFB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:rsidR="00642EFB" w:rsidRPr="000949C0" w:rsidRDefault="00642EFB" w:rsidP="007734A8">
            <w:pPr>
              <w:rPr>
                <w:bCs/>
                <w:sz w:val="24"/>
                <w:szCs w:val="24"/>
              </w:rPr>
            </w:pPr>
            <w:r w:rsidRPr="00603981">
              <w:rPr>
                <w:bCs/>
                <w:sz w:val="20"/>
                <w:szCs w:val="20"/>
              </w:rPr>
              <w:t>Domaine fonctionnel :</w:t>
            </w:r>
            <w:r w:rsidRPr="00565427">
              <w:rPr>
                <w:bCs/>
                <w:sz w:val="24"/>
                <w:szCs w:val="24"/>
              </w:rPr>
              <w:t xml:space="preserve"> </w:t>
            </w:r>
            <w:r w:rsidRPr="009348CE">
              <w:rPr>
                <w:bCs/>
                <w:sz w:val="20"/>
                <w:szCs w:val="24"/>
              </w:rPr>
              <w:t>Elaboration et pilotage des politiques publiques</w:t>
            </w:r>
          </w:p>
          <w:p w:rsidR="00642EFB" w:rsidRDefault="00642EFB" w:rsidP="007734A8">
            <w:pPr>
              <w:pStyle w:val="En-tte"/>
              <w:jc w:val="left"/>
              <w:rPr>
                <w:bCs/>
                <w:sz w:val="20"/>
                <w:szCs w:val="20"/>
              </w:rPr>
            </w:pPr>
          </w:p>
          <w:p w:rsidR="00642EFB" w:rsidRPr="006B5296" w:rsidRDefault="00642EFB" w:rsidP="007734A8">
            <w:pPr>
              <w:rPr>
                <w:sz w:val="24"/>
                <w:szCs w:val="24"/>
              </w:rPr>
            </w:pPr>
            <w:r w:rsidRPr="00603981">
              <w:rPr>
                <w:sz w:val="20"/>
                <w:szCs w:val="20"/>
              </w:rPr>
              <w:t>Métier ou emploi-typ</w:t>
            </w:r>
            <w:r>
              <w:rPr>
                <w:sz w:val="20"/>
                <w:szCs w:val="20"/>
              </w:rPr>
              <w:t>e :</w:t>
            </w:r>
            <w:r w:rsidRPr="000E4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0D54">
              <w:rPr>
                <w:bCs/>
                <w:sz w:val="20"/>
                <w:szCs w:val="24"/>
              </w:rPr>
              <w:t>Chargé de mission</w:t>
            </w:r>
          </w:p>
          <w:p w:rsidR="00642EFB" w:rsidRPr="00603981" w:rsidRDefault="00642EFB" w:rsidP="007734A8">
            <w:pPr>
              <w:pStyle w:val="En-tte"/>
              <w:jc w:val="left"/>
              <w:rPr>
                <w:b/>
                <w:bCs/>
              </w:rPr>
            </w:pPr>
          </w:p>
        </w:tc>
      </w:tr>
    </w:tbl>
    <w:p w:rsidR="00642EFB" w:rsidRDefault="00642EFB" w:rsidP="00642EFB">
      <w:pPr>
        <w:pStyle w:val="En-tte"/>
        <w:jc w:val="both"/>
        <w:rPr>
          <w:sz w:val="18"/>
          <w:szCs w:val="18"/>
        </w:rPr>
      </w:pPr>
    </w:p>
    <w:tbl>
      <w:tblPr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498"/>
      </w:tblGrid>
      <w:tr w:rsidR="00642EFB" w:rsidRPr="00603981" w:rsidTr="007734A8">
        <w:tc>
          <w:tcPr>
            <w:tcW w:w="1094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pStyle w:val="En-tte"/>
              <w:jc w:val="both"/>
              <w:rPr>
                <w:b/>
                <w:bCs/>
                <w:sz w:val="20"/>
                <w:szCs w:val="20"/>
              </w:rPr>
            </w:pPr>
          </w:p>
          <w:p w:rsidR="00642EFB" w:rsidRPr="00603981" w:rsidRDefault="00642EFB" w:rsidP="007734A8">
            <w:pPr>
              <w:pStyle w:val="En-tte"/>
              <w:rPr>
                <w:b/>
                <w:bCs/>
              </w:rPr>
            </w:pPr>
            <w:r w:rsidRPr="00603981">
              <w:rPr>
                <w:b/>
                <w:bCs/>
              </w:rPr>
              <w:t>FICHE DESCRIPTIVE D’EMPLOI</w:t>
            </w:r>
          </w:p>
          <w:p w:rsidR="00642EFB" w:rsidRPr="00603981" w:rsidRDefault="00642EFB" w:rsidP="007734A8">
            <w:pPr>
              <w:pStyle w:val="En-tte"/>
              <w:jc w:val="both"/>
              <w:rPr>
                <w:sz w:val="18"/>
                <w:szCs w:val="18"/>
              </w:rPr>
            </w:pPr>
          </w:p>
        </w:tc>
      </w:tr>
      <w:tr w:rsidR="00642EFB" w:rsidRPr="00603981" w:rsidTr="007734A8">
        <w:trPr>
          <w:trHeight w:val="1060"/>
        </w:trPr>
        <w:tc>
          <w:tcPr>
            <w:tcW w:w="2448" w:type="dxa"/>
          </w:tcPr>
          <w:p w:rsidR="00642EFB" w:rsidRPr="006D290B" w:rsidRDefault="00642EFB" w:rsidP="007734A8">
            <w:pPr>
              <w:pStyle w:val="En-tte"/>
              <w:rPr>
                <w:b/>
                <w:bCs/>
                <w:sz w:val="20"/>
                <w:szCs w:val="20"/>
                <w:lang w:val="de-DE"/>
              </w:rPr>
            </w:pPr>
          </w:p>
          <w:p w:rsidR="00642EFB" w:rsidRPr="006D290B" w:rsidRDefault="00642EFB" w:rsidP="007734A8">
            <w:pPr>
              <w:pStyle w:val="En-tte"/>
              <w:jc w:val="left"/>
              <w:rPr>
                <w:b/>
                <w:bCs/>
                <w:sz w:val="18"/>
                <w:szCs w:val="18"/>
                <w:lang w:val="de-DE"/>
              </w:rPr>
            </w:pPr>
          </w:p>
          <w:p w:rsidR="00642EFB" w:rsidRPr="006D290B" w:rsidRDefault="003853B5" w:rsidP="007734A8">
            <w:pPr>
              <w:pStyle w:val="En-tte"/>
              <w:rPr>
                <w:b/>
                <w:bCs/>
                <w:color w:val="0000FF"/>
                <w:sz w:val="20"/>
                <w:szCs w:val="20"/>
                <w:lang w:val="de-DE"/>
              </w:rPr>
            </w:pPr>
            <w:r w:rsidRPr="003853B5">
              <w:rPr>
                <w:b/>
                <w:bCs/>
                <w:color w:val="0000FF"/>
                <w:sz w:val="20"/>
                <w:szCs w:val="20"/>
                <w:lang w:val="de-DE"/>
              </w:rPr>
              <w:t>Fiche N°</w:t>
            </w:r>
          </w:p>
          <w:p w:rsidR="00642EFB" w:rsidRPr="006D290B" w:rsidRDefault="003853B5" w:rsidP="00642EFB">
            <w:pPr>
              <w:rPr>
                <w:b/>
                <w:sz w:val="24"/>
                <w:szCs w:val="24"/>
                <w:lang w:val="de-DE"/>
              </w:rPr>
            </w:pPr>
            <w:r w:rsidRPr="003853B5">
              <w:rPr>
                <w:b/>
                <w:sz w:val="24"/>
                <w:szCs w:val="24"/>
                <w:lang w:val="de-DE"/>
              </w:rPr>
              <w:t xml:space="preserve">SDPF_PF1_13_CM </w:t>
            </w:r>
          </w:p>
        </w:tc>
        <w:tc>
          <w:tcPr>
            <w:tcW w:w="8498" w:type="dxa"/>
            <w:tcBorders>
              <w:bottom w:val="nil"/>
            </w:tcBorders>
          </w:tcPr>
          <w:p w:rsidR="00642EFB" w:rsidRPr="006D290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642EFB" w:rsidRPr="006D290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Catégorie :      Encadrement supérieur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B2">
              <w:rPr>
                <w:rFonts w:ascii="Times New Roman" w:hAnsi="Times New Roman" w:cs="Times New Roman"/>
                <w:sz w:val="20"/>
                <w:szCs w:val="20"/>
              </w:rPr>
              <w:t>ou équivalent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C 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:rsidTr="007734A8">
        <w:trPr>
          <w:trHeight w:val="870"/>
        </w:trPr>
        <w:tc>
          <w:tcPr>
            <w:tcW w:w="2448" w:type="dxa"/>
          </w:tcPr>
          <w:p w:rsidR="00642EFB" w:rsidRPr="00603981" w:rsidRDefault="00642EFB" w:rsidP="007734A8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642EFB" w:rsidRPr="000F3EB9" w:rsidRDefault="00642EFB" w:rsidP="007734A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Cotation, s’il y a lieu</w:t>
            </w:r>
            <w:r w:rsidRPr="00603981">
              <w:rPr>
                <w:position w:val="6"/>
                <w:sz w:val="13"/>
              </w:rPr>
              <w:t xml:space="preserve"> </w:t>
            </w:r>
            <w:r w:rsidRPr="00DF6A6A">
              <w:t xml:space="preserve">: </w:t>
            </w:r>
          </w:p>
        </w:tc>
        <w:tc>
          <w:tcPr>
            <w:tcW w:w="8498" w:type="dxa"/>
            <w:tcBorders>
              <w:top w:val="nil"/>
              <w:bottom w:val="nil"/>
            </w:tcBorders>
          </w:tcPr>
          <w:p w:rsidR="00642EFB" w:rsidRPr="00FB7107" w:rsidRDefault="00642EFB" w:rsidP="007734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Corps et grade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107">
              <w:rPr>
                <w:rFonts w:ascii="Times New Roman" w:hAnsi="Times New Roman" w:cs="Times New Roman"/>
                <w:bCs/>
                <w:sz w:val="20"/>
                <w:szCs w:val="20"/>
              </w:rPr>
              <w:t>Directeur d’hôpital, Attaché d’administration, consultant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</w:p>
          <w:p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</w:p>
          <w:p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  <w:r w:rsidRPr="00603981">
              <w:rPr>
                <w:sz w:val="20"/>
                <w:szCs w:val="20"/>
              </w:rPr>
              <w:t xml:space="preserve">Poste vacant : Oui </w:t>
            </w:r>
            <w:r w:rsidRPr="00603981">
              <w:rPr>
                <w:sz w:val="20"/>
                <w:szCs w:val="20"/>
              </w:rPr>
              <w:sym w:font="Wingdings" w:char="F06F"/>
            </w:r>
            <w:r w:rsidRPr="00603981">
              <w:rPr>
                <w:sz w:val="20"/>
                <w:szCs w:val="20"/>
              </w:rPr>
              <w:t xml:space="preserve">    Susceptible d’être vacant    </w:t>
            </w:r>
            <w:r w:rsidR="00A752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752C3">
              <w:rPr>
                <w:sz w:val="20"/>
                <w:szCs w:val="20"/>
              </w:rPr>
              <w:instrText xml:space="preserve"> FORMCHECKBOX </w:instrText>
            </w:r>
            <w:r w:rsidR="00A752C3">
              <w:rPr>
                <w:sz w:val="20"/>
                <w:szCs w:val="20"/>
              </w:rPr>
            </w:r>
            <w:r w:rsidR="00A752C3">
              <w:rPr>
                <w:sz w:val="20"/>
                <w:szCs w:val="20"/>
              </w:rPr>
              <w:fldChar w:fldCharType="separate"/>
            </w:r>
            <w:r w:rsidR="00A752C3">
              <w:rPr>
                <w:sz w:val="20"/>
                <w:szCs w:val="20"/>
              </w:rPr>
              <w:fldChar w:fldCharType="end"/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:rsidTr="007734A8">
        <w:tc>
          <w:tcPr>
            <w:tcW w:w="2448" w:type="dxa"/>
          </w:tcPr>
          <w:p w:rsidR="00642EFB" w:rsidRPr="00603981" w:rsidRDefault="00642EFB" w:rsidP="007734A8">
            <w:pPr>
              <w:pStyle w:val="En-tte"/>
              <w:rPr>
                <w:b/>
                <w:bCs/>
                <w:sz w:val="20"/>
                <w:szCs w:val="20"/>
              </w:rPr>
            </w:pPr>
          </w:p>
          <w:p w:rsidR="00642EFB" w:rsidRPr="00603981" w:rsidRDefault="00642EFB" w:rsidP="007734A8">
            <w:pPr>
              <w:pStyle w:val="En-tte"/>
              <w:rPr>
                <w:b/>
                <w:bCs/>
                <w:sz w:val="20"/>
                <w:szCs w:val="20"/>
              </w:rPr>
            </w:pPr>
            <w:r w:rsidRPr="00603981">
              <w:rPr>
                <w:b/>
                <w:bCs/>
                <w:sz w:val="20"/>
                <w:szCs w:val="20"/>
              </w:rPr>
              <w:t>Date de mise à jour :</w:t>
            </w:r>
          </w:p>
          <w:p w:rsidR="00642EFB" w:rsidRPr="00603981" w:rsidRDefault="00642EFB" w:rsidP="006D290B">
            <w:pPr>
              <w:pStyle w:val="En-t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27 </w:t>
            </w:r>
            <w:r w:rsidR="0055799E">
              <w:rPr>
                <w:b/>
                <w:bCs/>
                <w:sz w:val="16"/>
                <w:szCs w:val="16"/>
              </w:rPr>
              <w:t xml:space="preserve">juillet </w:t>
            </w:r>
            <w:r w:rsidR="006D290B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8498" w:type="dxa"/>
            <w:tcBorders>
              <w:top w:val="nil"/>
            </w:tcBorders>
          </w:tcPr>
          <w:p w:rsidR="00642EFB" w:rsidRPr="00603981" w:rsidRDefault="00642EFB" w:rsidP="007734A8">
            <w:pPr>
              <w:pStyle w:val="En-tte"/>
              <w:jc w:val="left"/>
              <w:rPr>
                <w:bCs/>
                <w:sz w:val="20"/>
                <w:szCs w:val="20"/>
              </w:rPr>
            </w:pPr>
            <w:r w:rsidRPr="00603981">
              <w:rPr>
                <w:bCs/>
                <w:sz w:val="20"/>
                <w:szCs w:val="20"/>
              </w:rPr>
              <w:t>Date de prise de poste souhaitée 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752C3">
              <w:rPr>
                <w:bCs/>
                <w:sz w:val="20"/>
                <w:szCs w:val="20"/>
              </w:rPr>
              <w:t>septembre 2016</w:t>
            </w:r>
          </w:p>
          <w:p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</w:p>
        </w:tc>
      </w:tr>
    </w:tbl>
    <w:p w:rsidR="00642EFB" w:rsidRPr="00DC24F9" w:rsidRDefault="00642EFB" w:rsidP="00642EFB">
      <w:pPr>
        <w:pStyle w:val="En-tte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  <w:shd w:val="clear" w:color="auto" w:fill="E0E0E0"/>
          </w:tcPr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t>LOCALISATION ADMINISTRATIVE ET GEOGRAPHIQUE</w:t>
            </w:r>
          </w:p>
        </w:tc>
      </w:tr>
      <w:tr w:rsidR="00642EFB" w:rsidRPr="00603981" w:rsidTr="007734A8">
        <w:tc>
          <w:tcPr>
            <w:tcW w:w="10912" w:type="dxa"/>
          </w:tcPr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Direction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DGOS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Sous-direction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B7107">
              <w:rPr>
                <w:rFonts w:ascii="Times New Roman" w:hAnsi="Times New Roman" w:cs="Times New Roman"/>
                <w:sz w:val="20"/>
                <w:szCs w:val="20"/>
              </w:rPr>
              <w:t>Pilotage de la Performance des offreurs de soins (SDPF)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7734A8"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Bureau :</w:t>
            </w:r>
            <w:r w:rsidRPr="000D2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107">
              <w:rPr>
                <w:rFonts w:ascii="Times New Roman" w:hAnsi="Times New Roman" w:cs="Times New Roman"/>
                <w:sz w:val="20"/>
                <w:szCs w:val="20"/>
              </w:rPr>
              <w:t>Efficience des établissements de santé publics et privés PF1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Sites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 :      </w: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Duquesne 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(14 avenue Duquesne - PARIS 7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 : Ecole Militaire – St-François Xavier)</w:t>
            </w:r>
          </w:p>
          <w:p w:rsidR="00642EFB" w:rsidRPr="00603981" w:rsidRDefault="00642EFB" w:rsidP="007734A8">
            <w:pPr>
              <w:numPr>
                <w:ilvl w:val="0"/>
                <w:numId w:val="1"/>
              </w:numPr>
              <w:tabs>
                <w:tab w:val="clear" w:pos="1140"/>
                <w:tab w:val="num" w:pos="10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Montparnasse 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(place des cinq Martyrs du Lycée Buffon -  PARIS 14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 : Gaîté – Montparnasse - Pasteur)</w:t>
            </w:r>
          </w:p>
          <w:p w:rsidR="00642EFB" w:rsidRPr="00603981" w:rsidRDefault="00642EFB" w:rsidP="007734A8">
            <w:pPr>
              <w:numPr>
                <w:ilvl w:val="0"/>
                <w:numId w:val="1"/>
              </w:numPr>
              <w:tabs>
                <w:tab w:val="clear" w:pos="1140"/>
                <w:tab w:val="num" w:pos="10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Avenue de France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(95 avenue de France – PARIS 13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 ou RER C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 : Bibliothèque François Mitterrand) </w:t>
            </w:r>
          </w:p>
          <w:p w:rsidR="00642EFB" w:rsidRPr="00603981" w:rsidRDefault="00642EFB" w:rsidP="007734A8">
            <w:pPr>
              <w:numPr>
                <w:ilvl w:val="0"/>
                <w:numId w:val="1"/>
              </w:numPr>
              <w:tabs>
                <w:tab w:val="clear" w:pos="1140"/>
                <w:tab w:val="num" w:pos="10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Javel (39-43, quai André Citroën – PARIS 15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: Javel-André Citroën (ligne 10) ou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RER C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: Javel </w:t>
            </w:r>
          </w:p>
          <w:p w:rsidR="00642EFB" w:rsidRPr="00603981" w:rsidRDefault="00642EF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Autres (adresse précise du site) :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t>DESCRIPTION DU BUREAU OU DE LA STRUCTURE</w:t>
            </w:r>
          </w:p>
        </w:tc>
      </w:tr>
      <w:tr w:rsidR="00642EFB" w:rsidRPr="00603981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Missions de la structure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 (sous-direction, département, mission…) :</w:t>
            </w: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La sous-direction veille à l’emploi optimal des ressources dont disposent les acteurs de l’offre de soins, ainsi que les conditions de leur efficience médico-économique. Dans ce cadre, elle propose les politiques et évalue les résultats des actions menées dans le champ de la performance.</w:t>
            </w: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Missions du bureau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 grands objectifs du bureau PF1 sont les suivants : </w:t>
            </w:r>
          </w:p>
          <w:p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Impulser la modernisation et l’amélioration continue de la qualité de la gestion des établissements de santé</w:t>
            </w:r>
          </w:p>
          <w:p w:rsidR="00642EFB" w:rsidRPr="00C2375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Evaluer les actions menées sur le champ de la performance</w:t>
            </w:r>
          </w:p>
          <w:p w:rsidR="00642EF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Superviser la situation financière macro et micro-économiques des établissements </w:t>
            </w:r>
          </w:p>
          <w:p w:rsidR="00642EFB" w:rsidRPr="00C2375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Piloter la stratégie de soutien à l’investissement des établissements de santé</w:t>
            </w:r>
          </w:p>
          <w:p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Ils se déclinent par les actions suivantes :</w:t>
            </w:r>
          </w:p>
          <w:p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Assurer la veille, l’évaluation et le pilotage des politiques d’amélioration de la performance des établissements : réaliser des études et évaluer les actions menées en lien avec les autres bureaux de la DGOS ; repérer de nouveaux leviers de la performance ; piloter en lien avec les autres bureaux de la DGOS les actions conduites par l’ANAP ; perfectionner les outils de mesure de la performance.</w:t>
            </w:r>
          </w:p>
          <w:p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Optimiser les processus de gestion interne des établissements en portant des programmes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programme PHARE sur les achats ; programme SIMPHONIE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simplification du parcours administratif du patient 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optimisation de la gestion du patrimoine et projet OPHELIE ; 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projet certification des comptes des établissements ; modernisation des normes budgétaires et comptables 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comptabilité analytique ; 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gouvernance des établissements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; dématérialisation de la chaîne de la dépense et de l’achat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Piloter et optimiser l’investissement hospitalier : piloter, suivre et évaluer les plans d’interventions au profit de l’investissement immobilier et en termes de système d’information ; optimiser la gestion des investissements (patrimoine, endettement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…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Prévenir, piloter et évaluer la situation financière des établissements de santé : réaliser des études macro et micro-économiques ; piloter en lien avec les ARS et 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COPERMO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Coordonner la définition du programme de travail de l’ANAP et participer à l’évaluation de ses actions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Participer à l’animation du travail avec les ARS dans le périmètre d’action du bureau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0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Effectif du bureau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 (répartition par catégorie) :</w:t>
            </w: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D036CB" w:rsidRDefault="00642EFB" w:rsidP="00773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EFB" w:rsidRPr="00D036C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D036CB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smartTag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 chef de bureau, </w:t>
            </w: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Pr="00D036CB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smartTag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 adjoints,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 chargés de mission,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D036CB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smartTag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 gestionnaire financier,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D036CB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smartTag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 assistante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lastRenderedPageBreak/>
              <w:t>DESCRIPTION DU POSTE</w:t>
            </w:r>
          </w:p>
        </w:tc>
      </w:tr>
      <w:tr w:rsidR="00642EFB" w:rsidRPr="00603981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0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Encadrement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 : Oui 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  Non   </w: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Nombre de personnes à encadrer (répartition par catégorie) :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0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Activités principales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1E364C" w:rsidRDefault="00642EFB" w:rsidP="00642EFB">
            <w:pPr>
              <w:pStyle w:val="Retraitcorpsdetexte"/>
              <w:ind w:left="0"/>
              <w:rPr>
                <w:b/>
                <w:bCs/>
                <w:sz w:val="20"/>
                <w:szCs w:val="20"/>
              </w:rPr>
            </w:pPr>
            <w:r w:rsidRPr="001E364C">
              <w:rPr>
                <w:bCs/>
                <w:sz w:val="20"/>
                <w:szCs w:val="20"/>
              </w:rPr>
              <w:t>Au sein du pôle « Qualité de la gestion des établissements de santé », sous la r</w:t>
            </w:r>
            <w:r w:rsidR="007734A8" w:rsidRPr="001E364C">
              <w:rPr>
                <w:bCs/>
                <w:sz w:val="20"/>
                <w:szCs w:val="20"/>
              </w:rPr>
              <w:t xml:space="preserve">esponsabilité du chef de bureau, </w:t>
            </w:r>
            <w:r w:rsidRPr="001E364C">
              <w:rPr>
                <w:bCs/>
                <w:sz w:val="20"/>
                <w:szCs w:val="20"/>
              </w:rPr>
              <w:t>de l’adjoint responsable du pôle</w:t>
            </w:r>
            <w:r w:rsidR="007734A8" w:rsidRPr="001E364C">
              <w:rPr>
                <w:bCs/>
                <w:sz w:val="20"/>
                <w:szCs w:val="20"/>
              </w:rPr>
              <w:t>, du chef de programme SIMPHONIE</w:t>
            </w:r>
            <w:r w:rsidRPr="001E364C">
              <w:rPr>
                <w:bCs/>
                <w:sz w:val="20"/>
                <w:szCs w:val="20"/>
              </w:rPr>
              <w:t xml:space="preserve"> et en lien étroit avec les  autres chargés de missions </w:t>
            </w:r>
            <w:r w:rsidR="007734A8" w:rsidRPr="001E364C">
              <w:rPr>
                <w:bCs/>
                <w:sz w:val="20"/>
                <w:szCs w:val="20"/>
              </w:rPr>
              <w:t>du bureau PF1</w:t>
            </w:r>
            <w:r w:rsidRPr="001E364C">
              <w:rPr>
                <w:bCs/>
                <w:sz w:val="20"/>
                <w:szCs w:val="20"/>
              </w:rPr>
              <w:t xml:space="preserve">, le chargé de mission a pour objectif </w:t>
            </w:r>
            <w:r w:rsidR="007734A8" w:rsidRPr="001E364C">
              <w:rPr>
                <w:b/>
                <w:bCs/>
                <w:sz w:val="20"/>
                <w:szCs w:val="20"/>
              </w:rPr>
              <w:t>de participer à la simplification du parcours administratif du patient</w:t>
            </w:r>
            <w:r w:rsidR="001E364C" w:rsidRPr="001E364C">
              <w:rPr>
                <w:b/>
                <w:bCs/>
                <w:sz w:val="20"/>
                <w:szCs w:val="20"/>
              </w:rPr>
              <w:t xml:space="preserve"> (SIMPHONIE)</w:t>
            </w:r>
            <w:r w:rsidRPr="001E364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1E364C" w:rsidRPr="001E364C" w:rsidRDefault="001E364C" w:rsidP="00642EFB">
            <w:pPr>
              <w:pStyle w:val="Retraitcorpsdetexte"/>
              <w:ind w:left="0"/>
              <w:rPr>
                <w:b/>
                <w:bCs/>
                <w:sz w:val="20"/>
                <w:szCs w:val="20"/>
              </w:rPr>
            </w:pPr>
          </w:p>
          <w:p w:rsidR="001E364C" w:rsidRPr="001E364C" w:rsidRDefault="001E364C" w:rsidP="00642EFB">
            <w:pPr>
              <w:pStyle w:val="Retraitcorpsdetexte"/>
              <w:ind w:left="0"/>
              <w:rPr>
                <w:b/>
                <w:bCs/>
                <w:sz w:val="20"/>
                <w:szCs w:val="20"/>
              </w:rPr>
            </w:pPr>
            <w:r w:rsidRPr="001E364C">
              <w:rPr>
                <w:bCs/>
                <w:sz w:val="20"/>
                <w:szCs w:val="20"/>
              </w:rPr>
              <w:t>Plus particulièrement, au sein de l’équipe projet SIMPHONIE,</w:t>
            </w:r>
            <w:r w:rsidRPr="001E364C">
              <w:rPr>
                <w:b/>
                <w:bCs/>
                <w:sz w:val="20"/>
                <w:szCs w:val="20"/>
              </w:rPr>
              <w:t xml:space="preserve"> le chargé de mission sera en charge des projets de</w:t>
            </w:r>
            <w:r>
              <w:rPr>
                <w:b/>
                <w:bCs/>
                <w:sz w:val="20"/>
                <w:szCs w:val="20"/>
              </w:rPr>
              <w:t xml:space="preserve"> dématérialisation et de fluidification des échanges entre</w:t>
            </w:r>
            <w:r w:rsidRPr="001E364C">
              <w:rPr>
                <w:b/>
                <w:bCs/>
                <w:sz w:val="20"/>
                <w:szCs w:val="20"/>
              </w:rPr>
              <w:t xml:space="preserve"> établissements de santé </w:t>
            </w:r>
            <w:r>
              <w:rPr>
                <w:b/>
                <w:bCs/>
                <w:sz w:val="20"/>
                <w:szCs w:val="20"/>
              </w:rPr>
              <w:t>et</w:t>
            </w:r>
            <w:r w:rsidRPr="001E364C">
              <w:rPr>
                <w:b/>
                <w:bCs/>
                <w:sz w:val="20"/>
                <w:szCs w:val="20"/>
              </w:rPr>
              <w:t xml:space="preserve"> l’assurance maladie obligatoire et complémentaire (projets FIDES ET ROC</w:t>
            </w:r>
            <w:r>
              <w:rPr>
                <w:b/>
                <w:bCs/>
                <w:sz w:val="20"/>
                <w:szCs w:val="20"/>
              </w:rPr>
              <w:t xml:space="preserve"> principalement</w:t>
            </w:r>
            <w:r w:rsidRPr="001E364C">
              <w:rPr>
                <w:b/>
                <w:bCs/>
                <w:sz w:val="20"/>
                <w:szCs w:val="20"/>
              </w:rPr>
              <w:t xml:space="preserve">) : </w:t>
            </w:r>
          </w:p>
          <w:p w:rsidR="00642EFB" w:rsidRPr="001E364C" w:rsidRDefault="00642EFB" w:rsidP="00642EFB">
            <w:pPr>
              <w:pStyle w:val="Retraitcorpsdetexte"/>
              <w:ind w:left="0"/>
              <w:rPr>
                <w:bCs/>
                <w:sz w:val="20"/>
                <w:szCs w:val="20"/>
              </w:rPr>
            </w:pPr>
          </w:p>
          <w:p w:rsidR="007734A8" w:rsidRPr="001E364C" w:rsidRDefault="001E364C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Il est chef de projet pour FIDES</w:t>
            </w:r>
            <w:r w:rsidR="007F5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284" w:rsidRPr="001E364C">
              <w:rPr>
                <w:rFonts w:ascii="Times New Roman" w:hAnsi="Times New Roman" w:cs="Times New Roman"/>
                <w:sz w:val="20"/>
                <w:szCs w:val="20"/>
              </w:rPr>
              <w:t>(facturation directe à l’assurance maladie)</w:t>
            </w:r>
            <w:r w:rsidR="009A6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99E">
              <w:rPr>
                <w:rFonts w:ascii="Times New Roman" w:hAnsi="Times New Roman" w:cs="Times New Roman"/>
                <w:sz w:val="20"/>
                <w:szCs w:val="20"/>
              </w:rPr>
              <w:t xml:space="preserve">ACE et </w:t>
            </w:r>
            <w:r w:rsidR="009A6B8C">
              <w:rPr>
                <w:rFonts w:ascii="Times New Roman" w:hAnsi="Times New Roman" w:cs="Times New Roman"/>
                <w:sz w:val="20"/>
                <w:szCs w:val="20"/>
              </w:rPr>
              <w:t>séjours</w:t>
            </w:r>
            <w:r w:rsidR="00942284">
              <w:rPr>
                <w:rFonts w:ascii="Times New Roman" w:hAnsi="Times New Roman" w:cs="Times New Roman"/>
                <w:sz w:val="20"/>
                <w:szCs w:val="20"/>
              </w:rPr>
              <w:t xml:space="preserve"> (en particulier MCO et HAD)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 sous la responsabilité du chef de programme SIMPHONIE</w:t>
            </w:r>
            <w:r w:rsidR="007734A8"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64C" w:rsidRPr="001E364C" w:rsidRDefault="001E364C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Il participe à l’élaboration et au suivi des travaux menés par l’ANAP, l’ATIH, la CNAMTS (</w:t>
            </w:r>
            <w:proofErr w:type="spellStart"/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CDRi</w:t>
            </w:r>
            <w:proofErr w:type="spellEnd"/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) et l’ASIP </w:t>
            </w:r>
            <w:r w:rsidR="00942284">
              <w:rPr>
                <w:rFonts w:ascii="Times New Roman" w:hAnsi="Times New Roman" w:cs="Times New Roman"/>
                <w:sz w:val="20"/>
                <w:szCs w:val="20"/>
              </w:rPr>
              <w:t>pour l’accompagnement des établissements dans l’optimisation de leur organisation de production de données médico-économiques, et du recouvrement,</w:t>
            </w:r>
          </w:p>
          <w:p w:rsidR="007F5262" w:rsidRDefault="007F5262" w:rsidP="007F52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799E">
              <w:rPr>
                <w:rFonts w:ascii="Times New Roman" w:hAnsi="Times New Roman" w:cs="Times New Roman"/>
                <w:sz w:val="20"/>
                <w:szCs w:val="20"/>
              </w:rPr>
              <w:t xml:space="preserve">Il propose des actions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pour améliorer dans les établissements le pilotage de la chaîne de valorisation / facturation des recettes,</w:t>
            </w:r>
          </w:p>
          <w:p w:rsidR="00942284" w:rsidRPr="00942284" w:rsidRDefault="00942284" w:rsidP="0094228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2284">
              <w:rPr>
                <w:rFonts w:ascii="Times New Roman" w:hAnsi="Times New Roman" w:cs="Times New Roman"/>
                <w:sz w:val="20"/>
                <w:szCs w:val="20"/>
              </w:rPr>
              <w:t xml:space="preserve">En lien avec l’ANAP, il pilote des actions d’amélioration et de développement des outils dans le domaine de 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valorisation / </w:t>
            </w:r>
            <w:r w:rsidRPr="00942284">
              <w:rPr>
                <w:rFonts w:ascii="Times New Roman" w:hAnsi="Times New Roman" w:cs="Times New Roman"/>
                <w:sz w:val="20"/>
                <w:szCs w:val="20"/>
              </w:rPr>
              <w:t>facturation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l’activité</w:t>
            </w:r>
            <w:r w:rsidRPr="00942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2284" w:rsidRDefault="00942284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Il propose des actions et des évolutions réglementaires visant à optimiser les performances des établissements de santé en matière de facturation</w:t>
            </w:r>
            <w:r w:rsidR="0098345D">
              <w:rPr>
                <w:rFonts w:ascii="Times New Roman" w:hAnsi="Times New Roman" w:cs="Times New Roman"/>
                <w:sz w:val="20"/>
                <w:szCs w:val="20"/>
              </w:rPr>
              <w:t xml:space="preserve"> et à en simplifier les règles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2284" w:rsidRPr="00B31AAF" w:rsidRDefault="00942284" w:rsidP="0094228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2284">
              <w:rPr>
                <w:rFonts w:ascii="Times New Roman" w:hAnsi="Times New Roman" w:cs="Times New Roman"/>
                <w:sz w:val="20"/>
                <w:szCs w:val="20"/>
              </w:rPr>
              <w:t>Il est le correspondant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 xml:space="preserve"> privilégié de la DSS, de la CNAMTS et de la DGFiP pour le domaine</w:t>
            </w:r>
          </w:p>
          <w:p w:rsidR="007734A8" w:rsidRDefault="007734A8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Il a en charge l’élaboration et le suivi des règles de facturation </w:t>
            </w:r>
            <w:r w:rsidR="001E364C"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applicables aux établissements de santé 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(en lien avec la DSS, la CNAMTS</w:t>
            </w:r>
            <w:r w:rsidR="001E364C">
              <w:rPr>
                <w:rFonts w:ascii="Times New Roman" w:hAnsi="Times New Roman" w:cs="Times New Roman"/>
                <w:sz w:val="20"/>
                <w:szCs w:val="20"/>
              </w:rPr>
              <w:t xml:space="preserve"> et SDR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F704F">
              <w:rPr>
                <w:rFonts w:ascii="Times New Roman" w:hAnsi="Times New Roman" w:cs="Times New Roman"/>
                <w:sz w:val="20"/>
                <w:szCs w:val="20"/>
              </w:rPr>
              <w:t xml:space="preserve">et participe à la </w:t>
            </w:r>
            <w:r w:rsidR="009F704F" w:rsidRPr="00B31AAF">
              <w:rPr>
                <w:rFonts w:ascii="Times New Roman" w:hAnsi="Times New Roman" w:cs="Times New Roman"/>
                <w:sz w:val="20"/>
                <w:szCs w:val="20"/>
              </w:rPr>
              <w:t>production des textes</w:t>
            </w:r>
            <w:r w:rsidR="009F704F">
              <w:rPr>
                <w:rFonts w:ascii="Times New Roman" w:hAnsi="Times New Roman" w:cs="Times New Roman"/>
                <w:sz w:val="20"/>
                <w:szCs w:val="20"/>
              </w:rPr>
              <w:t xml:space="preserve"> (décrets, arrêtés, circulaires) ou guides en lien avec la facturation et le DIM</w:t>
            </w:r>
          </w:p>
          <w:p w:rsidR="00B31AAF" w:rsidRDefault="00B31AAF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prend en charge le chantier « organisation des DIM » dans le cadre de la mise en place des 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 xml:space="preserve">GHT </w:t>
            </w:r>
          </w:p>
          <w:p w:rsidR="009F704F" w:rsidRPr="001E364C" w:rsidRDefault="009F704F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p</w:t>
            </w:r>
            <w:r w:rsidRPr="009F704F">
              <w:rPr>
                <w:rFonts w:ascii="Times New Roman" w:hAnsi="Times New Roman" w:cs="Times New Roman"/>
                <w:sz w:val="20"/>
                <w:szCs w:val="20"/>
              </w:rPr>
              <w:t>articipe aux analyse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médico-</w:t>
            </w:r>
            <w:r w:rsidRPr="009F704F">
              <w:rPr>
                <w:rFonts w:ascii="Times New Roman" w:hAnsi="Times New Roman" w:cs="Times New Roman"/>
                <w:sz w:val="20"/>
                <w:szCs w:val="20"/>
              </w:rPr>
              <w:t>économique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F704F">
              <w:rPr>
                <w:rFonts w:ascii="Times New Roman" w:hAnsi="Times New Roman" w:cs="Times New Roman"/>
                <w:sz w:val="20"/>
                <w:szCs w:val="20"/>
              </w:rPr>
              <w:t xml:space="preserve"> réalisées à partir 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données PMSI, à la fois pour le</w:t>
            </w:r>
            <w:r w:rsidRPr="009F704F">
              <w:rPr>
                <w:rFonts w:ascii="Times New Roman" w:hAnsi="Times New Roman" w:cs="Times New Roman"/>
                <w:sz w:val="20"/>
                <w:szCs w:val="20"/>
              </w:rPr>
              <w:t xml:space="preserve"> traitement de fond des dossiers 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aités par la sous direction</w:t>
            </w:r>
            <w:r w:rsidRPr="009F704F">
              <w:rPr>
                <w:rFonts w:ascii="Times New Roman" w:hAnsi="Times New Roman" w:cs="Times New Roman"/>
                <w:sz w:val="20"/>
                <w:szCs w:val="20"/>
              </w:rPr>
              <w:t xml:space="preserve"> et pour 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établissements</w:t>
            </w:r>
            <w:r w:rsidRPr="009F7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suivis par le COPERMO ou sous plan de retour à l’équilibre financier</w:t>
            </w:r>
          </w:p>
          <w:p w:rsidR="009F704F" w:rsidRDefault="009F704F" w:rsidP="009F704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apporte une expertise techniques sur les q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 xml:space="preserve">uestions diverses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lien avec la 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 xml:space="preserve">facturation,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 codage et le DIM</w:t>
            </w:r>
          </w:p>
          <w:p w:rsidR="007734A8" w:rsidRPr="001E364C" w:rsidRDefault="007734A8" w:rsidP="001E36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Il participe à l’accompagnement </w:t>
            </w:r>
            <w:r w:rsidR="001E364C">
              <w:rPr>
                <w:rFonts w:ascii="Times New Roman" w:hAnsi="Times New Roman" w:cs="Times New Roman"/>
                <w:sz w:val="20"/>
                <w:szCs w:val="20"/>
              </w:rPr>
              <w:t xml:space="preserve">des </w:t>
            </w:r>
            <w:r w:rsidR="001E364C"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ARS, 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des établissements et des éditeurs</w:t>
            </w:r>
          </w:p>
          <w:p w:rsidR="007734A8" w:rsidRPr="00B31AAF" w:rsidRDefault="007734A8" w:rsidP="007734A8">
            <w:pPr>
              <w:pStyle w:val="Retraitcorpsdetexte"/>
              <w:ind w:left="720"/>
              <w:rPr>
                <w:sz w:val="20"/>
                <w:szCs w:val="20"/>
              </w:rPr>
            </w:pPr>
          </w:p>
          <w:p w:rsidR="00642EFB" w:rsidRPr="00B31AAF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B31AAF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A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Activités annexes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B5" w:rsidRPr="003853B5">
              <w:rPr>
                <w:rFonts w:ascii="Times New Roman" w:hAnsi="Times New Roman" w:cs="Times New Roman"/>
                <w:position w:val="10"/>
                <w:sz w:val="20"/>
                <w:szCs w:val="20"/>
              </w:rPr>
              <w:t>(7)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642EFB" w:rsidRPr="00B31AAF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A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</w:t>
            </w:r>
            <w:r w:rsidRPr="00E67E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rtenaires institutionnels</w:t>
            </w: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8D4">
              <w:rPr>
                <w:position w:val="10"/>
                <w:sz w:val="13"/>
              </w:rPr>
              <w:t>(8)</w:t>
            </w: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 sein de la DGOS : l’ensem</w:t>
            </w:r>
            <w:r w:rsidR="001E364C">
              <w:rPr>
                <w:rFonts w:ascii="Times New Roman" w:hAnsi="Times New Roman" w:cs="Times New Roman"/>
                <w:sz w:val="20"/>
                <w:szCs w:val="20"/>
              </w:rPr>
              <w:t xml:space="preserve">ble des bureaux de la direction, en particulier la SDPF, </w:t>
            </w:r>
            <w:r w:rsidR="001E364C" w:rsidRPr="001E364C">
              <w:rPr>
                <w:rFonts w:ascii="Times New Roman" w:hAnsi="Times New Roman" w:cs="Times New Roman"/>
                <w:sz w:val="20"/>
                <w:szCs w:val="20"/>
              </w:rPr>
              <w:t>R1 (synthèse organisationnelle et financière) et R5 (évaluation, modèles et méthodes)</w:t>
            </w:r>
            <w:r w:rsidR="001E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l’extérieur : ANAP, ATIH, </w:t>
            </w:r>
            <w:r w:rsidR="007F5262">
              <w:rPr>
                <w:rFonts w:ascii="Times New Roman" w:hAnsi="Times New Roman" w:cs="Times New Roman"/>
                <w:sz w:val="20"/>
                <w:szCs w:val="20"/>
              </w:rPr>
              <w:t xml:space="preserve">ASIP Santé, </w:t>
            </w:r>
            <w:r w:rsidR="001E364C">
              <w:rPr>
                <w:rFonts w:ascii="Times New Roman" w:hAnsi="Times New Roman" w:cs="Times New Roman"/>
                <w:sz w:val="20"/>
                <w:szCs w:val="20"/>
              </w:rPr>
              <w:t xml:space="preserve">DSS,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CNAMTS, fédérations hospitalières, ARS, SGMAP, établissements de santé, DGFiP, CISS</w:t>
            </w:r>
            <w:r w:rsidR="007F5262">
              <w:rPr>
                <w:rFonts w:ascii="Times New Roman" w:hAnsi="Times New Roman" w:cs="Times New Roman"/>
                <w:sz w:val="20"/>
                <w:szCs w:val="20"/>
              </w:rPr>
              <w:t>, éditeurs hospitaliers…</w:t>
            </w:r>
          </w:p>
          <w:p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 xml:space="preserve">Spécificités du poste / Contraintes </w:t>
            </w:r>
            <w:r w:rsidRPr="006358D4">
              <w:rPr>
                <w:position w:val="10"/>
                <w:sz w:val="13"/>
              </w:rPr>
              <w:t>(9)</w:t>
            </w: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642EFB" w:rsidRDefault="00642EFB" w:rsidP="00642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lastRenderedPageBreak/>
              <w:t>PROFIL SOUHAITE</w:t>
            </w:r>
          </w:p>
        </w:tc>
      </w:tr>
      <w:tr w:rsidR="00642EFB" w:rsidRPr="00603981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Compétences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requises sur le poste </w:t>
            </w:r>
            <w:r>
              <w:rPr>
                <w:position w:val="10"/>
                <w:sz w:val="13"/>
              </w:rPr>
              <w:t>(10)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2EFB" w:rsidRDefault="00642EFB" w:rsidP="007734A8">
            <w:pPr>
              <w:rPr>
                <w:position w:val="10"/>
                <w:sz w:val="13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Connaissances</w:t>
            </w:r>
            <w:r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position w:val="10"/>
                <w:sz w:val="13"/>
              </w:rPr>
              <w:t>(10)</w:t>
            </w:r>
          </w:p>
          <w:p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84"/>
            </w:tblGrid>
            <w:tr w:rsidR="00642EFB" w:rsidRPr="009947A7" w:rsidTr="007734A8">
              <w:tc>
                <w:tcPr>
                  <w:tcW w:w="10684" w:type="dxa"/>
                </w:tcPr>
                <w:p w:rsidR="00642EFB" w:rsidRPr="009947A7" w:rsidRDefault="00642EFB" w:rsidP="007734A8">
                  <w:pPr>
                    <w:rPr>
                      <w:position w:val="10"/>
                      <w:sz w:val="13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Connaissances expertes en gestion de projet</w:t>
                  </w:r>
                </w:p>
              </w:tc>
            </w:tr>
            <w:tr w:rsidR="00642EFB" w:rsidRPr="009947A7" w:rsidTr="007734A8">
              <w:tc>
                <w:tcPr>
                  <w:tcW w:w="10684" w:type="dxa"/>
                </w:tcPr>
                <w:p w:rsidR="00642EFB" w:rsidRPr="009947A7" w:rsidRDefault="00642EFB" w:rsidP="007734A8">
                  <w:pPr>
                    <w:rPr>
                      <w:position w:val="10"/>
                      <w:sz w:val="13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 solides en gestion des politiques publiques</w:t>
                  </w:r>
                </w:p>
              </w:tc>
            </w:tr>
            <w:tr w:rsidR="00642EFB" w:rsidRPr="009947A7" w:rsidTr="007734A8">
              <w:tc>
                <w:tcPr>
                  <w:tcW w:w="10684" w:type="dxa"/>
                </w:tcPr>
                <w:p w:rsidR="00642EFB" w:rsidRPr="009947A7" w:rsidRDefault="00642EFB" w:rsidP="007734A8">
                  <w:pPr>
                    <w:rPr>
                      <w:position w:val="10"/>
                      <w:sz w:val="13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 solide du secteur hospitalier et de ses acteurs</w:t>
                  </w:r>
                </w:p>
              </w:tc>
            </w:tr>
            <w:tr w:rsidR="009F704F" w:rsidRPr="009947A7" w:rsidTr="007734A8">
              <w:tc>
                <w:tcPr>
                  <w:tcW w:w="10684" w:type="dxa"/>
                </w:tcPr>
                <w:p w:rsidR="009F704F" w:rsidRDefault="009F704F" w:rsidP="009F704F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Connaissances solides de la chaine de facturation et de codage, DIM, PMSI</w:t>
                  </w:r>
                </w:p>
              </w:tc>
            </w:tr>
          </w:tbl>
          <w:p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2EFB" w:rsidRPr="006358D4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81"/>
              <w:gridCol w:w="1866"/>
              <w:gridCol w:w="544"/>
              <w:gridCol w:w="550"/>
              <w:gridCol w:w="544"/>
              <w:gridCol w:w="544"/>
            </w:tblGrid>
            <w:tr w:rsidR="00642EFB" w:rsidRPr="006358D4" w:rsidTr="007734A8"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EFB" w:rsidRPr="006358D4" w:rsidRDefault="00642EFB" w:rsidP="007734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EFB" w:rsidRPr="006358D4" w:rsidRDefault="00642EFB" w:rsidP="007734A8">
                  <w:pPr>
                    <w:ind w:left="-39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</w:t>
                  </w:r>
                  <w:r w:rsidRPr="0063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Niveau de mise en œuvre</w:t>
                  </w:r>
                </w:p>
              </w:tc>
            </w:tr>
            <w:tr w:rsidR="00642EFB" w:rsidRPr="006358D4" w:rsidTr="007734A8">
              <w:tc>
                <w:tcPr>
                  <w:tcW w:w="8447" w:type="dxa"/>
                  <w:gridSpan w:val="2"/>
                  <w:tcBorders>
                    <w:top w:val="nil"/>
                    <w:left w:val="nil"/>
                  </w:tcBorders>
                </w:tcPr>
                <w:p w:rsidR="00642EFB" w:rsidRDefault="00642EFB" w:rsidP="007734A8">
                  <w:pPr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Savoir-faire</w:t>
                  </w:r>
                  <w:r w:rsidRPr="006358D4">
                    <w:rPr>
                      <w:position w:val="10"/>
                      <w:sz w:val="13"/>
                    </w:rPr>
                    <w:t>(10)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 : expert / M : maitrise / A : application / N : notions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</w:t>
                  </w:r>
                  <w:r w:rsidRPr="006358D4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642EFB" w:rsidRPr="006358D4" w:rsidRDefault="00642EFB" w:rsidP="007734A8">
                  <w:pPr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0" w:type="dxa"/>
                  <w:tcBorders>
                    <w:top w:val="nil"/>
                  </w:tcBorders>
                </w:tcPr>
                <w:p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4" w:type="dxa"/>
                  <w:tcBorders>
                    <w:top w:val="nil"/>
                    <w:right w:val="nil"/>
                  </w:tcBorders>
                </w:tcPr>
                <w:p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</w:tr>
            <w:tr w:rsidR="00642EFB" w:rsidRPr="006358D4" w:rsidTr="007734A8">
              <w:tc>
                <w:tcPr>
                  <w:tcW w:w="8447" w:type="dxa"/>
                  <w:gridSpan w:val="2"/>
                </w:tcPr>
                <w:p w:rsidR="00642EFB" w:rsidRPr="00DF3977" w:rsidRDefault="00642EFB" w:rsidP="007734A8">
                  <w:pPr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gérer des projets complexes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:rsidR="00642EFB" w:rsidRPr="00DF3977" w:rsidRDefault="009F704F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42EFB" w:rsidRPr="006358D4" w:rsidTr="007734A8">
              <w:tc>
                <w:tcPr>
                  <w:tcW w:w="8447" w:type="dxa"/>
                  <w:gridSpan w:val="2"/>
                </w:tcPr>
                <w:p w:rsidR="00642EFB" w:rsidRPr="00DF3977" w:rsidRDefault="00642EFB" w:rsidP="007734A8">
                  <w:pPr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organiser et structurer un programme de travail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42EFB" w:rsidRPr="006358D4" w:rsidTr="007734A8">
              <w:tc>
                <w:tcPr>
                  <w:tcW w:w="8447" w:type="dxa"/>
                  <w:gridSpan w:val="2"/>
                </w:tcPr>
                <w:p w:rsidR="00642EFB" w:rsidRPr="00DF3977" w:rsidRDefault="00642EFB" w:rsidP="007734A8">
                  <w:pPr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proposer des solutions/ des évolutions des dispositifs/ politiques en place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42EFB" w:rsidRPr="006358D4" w:rsidTr="007734A8">
              <w:tc>
                <w:tcPr>
                  <w:tcW w:w="8447" w:type="dxa"/>
                  <w:gridSpan w:val="2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rédiger des notes de synthèse et à mettre en avant les éléments structurants d’une décision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42EFB" w:rsidRPr="006358D4" w:rsidTr="007734A8">
              <w:tc>
                <w:tcPr>
                  <w:tcW w:w="10629" w:type="dxa"/>
                  <w:gridSpan w:val="6"/>
                  <w:tcBorders>
                    <w:top w:val="nil"/>
                  </w:tcBorders>
                </w:tcPr>
                <w:p w:rsidR="00642EFB" w:rsidRPr="006358D4" w:rsidRDefault="00642EFB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E </w:t>
                  </w: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 L’agent doit savoir agir dans un contexte complexe, faire preuve de créativité, trouver de nouvelles fonctions, former d’autres agents et  être référent dans le domaine</w:t>
                  </w:r>
                </w:p>
                <w:p w:rsidR="00642EFB" w:rsidRPr="006358D4" w:rsidRDefault="00642EFB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M - L’agent met en œuvre la compétence de manière régulière, peut corriger et améliorer le processus, conseiller les autres agents, optimiser le résultat </w:t>
                  </w:r>
                </w:p>
                <w:p w:rsidR="00642EFB" w:rsidRPr="006358D4" w:rsidRDefault="00642EFB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A -  L’agent doit savoir effectuer, de manière occasionnelle ou régulière, correctement les activités, sous le contrôle d’un autre agent, et savoir repérer les dysfonctionnements </w:t>
                  </w:r>
                </w:p>
                <w:p w:rsidR="00642EFB" w:rsidRPr="006358D4" w:rsidRDefault="00642EFB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N -  L’agent doit disposer de notions de base, de repères généraux sur l’activité ou le processus (vocabulaire de base, principales tâches, connaissance du processus, global…)</w:t>
                  </w:r>
                </w:p>
              </w:tc>
            </w:tr>
            <w:tr w:rsidR="00642EFB" w:rsidRPr="006358D4" w:rsidTr="007734A8">
              <w:tc>
                <w:tcPr>
                  <w:tcW w:w="10629" w:type="dxa"/>
                  <w:gridSpan w:val="6"/>
                  <w:tcBorders>
                    <w:top w:val="triple" w:sz="4" w:space="0" w:color="auto"/>
                  </w:tcBorders>
                </w:tcPr>
                <w:p w:rsidR="00642EFB" w:rsidRPr="006358D4" w:rsidRDefault="00642EFB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642EFB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Savoir être nécessaire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Pr="006358D4">
                    <w:rPr>
                      <w:position w:val="10"/>
                      <w:sz w:val="13"/>
                    </w:rPr>
                    <w:t>(</w:t>
                  </w:r>
                  <w:smartTag w:uri="urn:schemas-microsoft-com:office:cs:smarttags" w:element="NumConv6p0">
                    <w:smartTagPr>
                      <w:attr w:name="val" w:val="11"/>
                      <w:attr w:name="sch" w:val="1"/>
                    </w:smartTagPr>
                    <w:r w:rsidRPr="006358D4">
                      <w:rPr>
                        <w:position w:val="10"/>
                        <w:sz w:val="13"/>
                      </w:rPr>
                      <w:t>11</w:t>
                    </w:r>
                  </w:smartTag>
                  <w:r w:rsidRPr="006358D4">
                    <w:rPr>
                      <w:position w:val="10"/>
                      <w:sz w:val="13"/>
                    </w:rPr>
                    <w:t>)</w:t>
                  </w:r>
                  <w:r w:rsidRPr="006358D4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  <w:r w:rsidRPr="006358D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(il est recommandé de mettre en gras la ou les compétences clés attendues) </w:t>
                  </w:r>
                </w:p>
                <w:p w:rsidR="00642EFB" w:rsidRPr="006358D4" w:rsidRDefault="00642EFB" w:rsidP="007734A8">
                  <w:pPr>
                    <w:rPr>
                      <w:b/>
                    </w:rPr>
                  </w:pPr>
                </w:p>
              </w:tc>
            </w:tr>
            <w:tr w:rsidR="00642EFB" w:rsidRPr="006358D4" w:rsidTr="007734A8">
              <w:tc>
                <w:tcPr>
                  <w:tcW w:w="10629" w:type="dxa"/>
                  <w:gridSpan w:val="6"/>
                </w:tcPr>
                <w:p w:rsidR="00642EFB" w:rsidRPr="00545727" w:rsidRDefault="00642EFB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457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Aptitude au travail en équipe</w:t>
                  </w:r>
                </w:p>
              </w:tc>
            </w:tr>
            <w:tr w:rsidR="00642EFB" w:rsidRPr="006358D4" w:rsidTr="007734A8">
              <w:tc>
                <w:tcPr>
                  <w:tcW w:w="10629" w:type="dxa"/>
                  <w:gridSpan w:val="6"/>
                </w:tcPr>
                <w:p w:rsidR="00642EFB" w:rsidRPr="00545727" w:rsidRDefault="00642EFB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457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Rigueur et sens de l’organisation du travail</w:t>
                  </w:r>
                </w:p>
              </w:tc>
            </w:tr>
            <w:tr w:rsidR="00642EFB" w:rsidRPr="006358D4" w:rsidTr="007734A8">
              <w:trPr>
                <w:trHeight w:val="61"/>
              </w:trPr>
              <w:tc>
                <w:tcPr>
                  <w:tcW w:w="10629" w:type="dxa"/>
                  <w:gridSpan w:val="6"/>
                </w:tcPr>
                <w:p w:rsidR="00642EFB" w:rsidRPr="00545727" w:rsidRDefault="00642EFB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457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Autonomie</w:t>
                  </w:r>
                </w:p>
              </w:tc>
            </w:tr>
          </w:tbl>
          <w:p w:rsidR="00642EFB" w:rsidRPr="00603981" w:rsidRDefault="00642EFB" w:rsidP="007734A8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42EFB" w:rsidRDefault="00642EFB" w:rsidP="00642EF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</w:tcPr>
          <w:p w:rsidR="00642EFB" w:rsidRPr="00603981" w:rsidRDefault="00642EFB" w:rsidP="00773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b/>
                <w:sz w:val="20"/>
                <w:szCs w:val="20"/>
              </w:rPr>
              <w:t>Expérience professionnelle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le poste peut convenir à un premier poste dans le domaine ou à une nouvelle orientation professionnelle </w:t>
            </w:r>
          </w:p>
          <w:p w:rsidR="00642EFB" w:rsidRPr="00603981" w:rsidRDefault="00D8654B" w:rsidP="007734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2E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42EFB" w:rsidRPr="00603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 expérience professionnelle souhaitée dans le domaine : </w:t>
            </w:r>
          </w:p>
          <w:p w:rsidR="009F704F" w:rsidRDefault="009F704F" w:rsidP="00642E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704F" w:rsidRDefault="009F704F" w:rsidP="009F704F">
            <w:pPr>
              <w:ind w:left="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Types de profils recherchés : </w:t>
            </w:r>
          </w:p>
          <w:p w:rsidR="009F704F" w:rsidRDefault="009F704F" w:rsidP="009F704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Médecin DIM</w:t>
            </w:r>
          </w:p>
          <w:p w:rsidR="009F704F" w:rsidRDefault="009F704F" w:rsidP="009F704F">
            <w:pPr>
              <w:ind w:left="7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04F" w:rsidRDefault="009F704F" w:rsidP="009F704F">
            <w:pPr>
              <w:ind w:left="7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Exemples d’expériences recherchées :</w:t>
            </w:r>
          </w:p>
          <w:p w:rsidR="009F704F" w:rsidRPr="009F704F" w:rsidRDefault="009F704F" w:rsidP="009F704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Connaissance du fonctionnement des établissements de santé, et plus spécialement du processus de facturation (organisation, système d’information, etc.) et du DIM</w:t>
            </w:r>
          </w:p>
          <w:p w:rsidR="009F704F" w:rsidRPr="009F704F" w:rsidRDefault="009F704F" w:rsidP="009F704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Connaissance de la réglementation applicable en matière de facturation, codage, PMSI</w:t>
            </w:r>
          </w:p>
          <w:p w:rsidR="009F704F" w:rsidRPr="00642EFB" w:rsidRDefault="009F704F" w:rsidP="00642E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2EFB" w:rsidRDefault="00642EFB" w:rsidP="00642EF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</w:tr>
      <w:tr w:rsidR="00642EFB" w:rsidRPr="00603981" w:rsidTr="007734A8">
        <w:tc>
          <w:tcPr>
            <w:tcW w:w="10912" w:type="dxa"/>
            <w:tcBorders>
              <w:top w:val="single" w:sz="4" w:space="0" w:color="auto"/>
            </w:tcBorders>
          </w:tcPr>
          <w:p w:rsidR="00642EFB" w:rsidRPr="00603981" w:rsidRDefault="00642EFB" w:rsidP="007734A8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681"/>
            </w:tblGrid>
            <w:tr w:rsidR="00642EFB" w:rsidRPr="00603981" w:rsidTr="007734A8">
              <w:tc>
                <w:tcPr>
                  <w:tcW w:w="10681" w:type="dxa"/>
                  <w:shd w:val="clear" w:color="auto" w:fill="C0C0C0"/>
                </w:tcPr>
                <w:p w:rsidR="00642EFB" w:rsidRPr="00603981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03981">
                    <w:rPr>
                      <w:rFonts w:ascii="Times New Roman" w:hAnsi="Times New Roman" w:cs="Times New Roman"/>
                      <w:b/>
                      <w:bCs/>
                    </w:rPr>
                    <w:t>Formations prévues dans le cadre de l’adaptation au poste de travail (T1)</w:t>
                  </w:r>
                </w:p>
              </w:tc>
            </w:tr>
            <w:tr w:rsidR="00642EFB" w:rsidRPr="00603981" w:rsidTr="007734A8">
              <w:tc>
                <w:tcPr>
                  <w:tcW w:w="10681" w:type="dxa"/>
                </w:tcPr>
                <w:p w:rsidR="00642EFB" w:rsidRPr="004315A8" w:rsidRDefault="00642EFB" w:rsidP="007734A8">
                  <w:pPr>
                    <w:pStyle w:val="Retraitcorpsdetexte"/>
                    <w:ind w:left="0"/>
                  </w:pPr>
                  <w:r w:rsidRPr="00603981">
                    <w:rPr>
                      <w:b/>
                      <w:bCs/>
                      <w:sz w:val="20"/>
                      <w:szCs w:val="20"/>
                    </w:rPr>
                    <w:t xml:space="preserve">1  </w:t>
                  </w:r>
                </w:p>
              </w:tc>
            </w:tr>
            <w:tr w:rsidR="00642EFB" w:rsidRPr="00603981" w:rsidTr="007734A8">
              <w:tc>
                <w:tcPr>
                  <w:tcW w:w="10681" w:type="dxa"/>
                </w:tcPr>
                <w:p w:rsidR="00642EFB" w:rsidRPr="008E1F05" w:rsidRDefault="00642EFB" w:rsidP="007734A8">
                  <w:pPr>
                    <w:pStyle w:val="Retraitcorpsdetexte"/>
                    <w:ind w:left="0"/>
                  </w:pPr>
                  <w:r w:rsidRPr="00603981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875789">
                    <w:t xml:space="preserve"> </w:t>
                  </w:r>
                </w:p>
              </w:tc>
            </w:tr>
            <w:tr w:rsidR="00642EFB" w:rsidRPr="00603981" w:rsidTr="007734A8">
              <w:tc>
                <w:tcPr>
                  <w:tcW w:w="10681" w:type="dxa"/>
                </w:tcPr>
                <w:p w:rsidR="00642EFB" w:rsidRPr="004315A8" w:rsidRDefault="00642EFB" w:rsidP="007734A8">
                  <w:pPr>
                    <w:pStyle w:val="Retraitcorpsdetexte"/>
                    <w:ind w:left="0"/>
                  </w:pPr>
                  <w:r w:rsidRPr="00603981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846E8B">
                    <w:t xml:space="preserve"> </w:t>
                  </w:r>
                </w:p>
              </w:tc>
            </w:tr>
          </w:tbl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681"/>
            </w:tblGrid>
            <w:tr w:rsidR="00642EFB" w:rsidRPr="00603981" w:rsidTr="007734A8">
              <w:tc>
                <w:tcPr>
                  <w:tcW w:w="10681" w:type="dxa"/>
                  <w:shd w:val="clear" w:color="auto" w:fill="C0C0C0"/>
                </w:tcPr>
                <w:p w:rsidR="00642EFB" w:rsidRPr="00603981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03981">
                    <w:rPr>
                      <w:rFonts w:ascii="Times New Roman" w:hAnsi="Times New Roman" w:cs="Times New Roman"/>
                      <w:b/>
                      <w:bCs/>
                    </w:rPr>
                    <w:t>Autres formations utiles au poste</w:t>
                  </w:r>
                </w:p>
              </w:tc>
            </w:tr>
            <w:tr w:rsidR="00642EFB" w:rsidRPr="00603981" w:rsidTr="007734A8">
              <w:tc>
                <w:tcPr>
                  <w:tcW w:w="10681" w:type="dxa"/>
                </w:tcPr>
                <w:p w:rsidR="00642EFB" w:rsidRPr="00603981" w:rsidRDefault="00642EFB" w:rsidP="007734A8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642EFB" w:rsidRPr="00603981" w:rsidTr="007734A8">
              <w:tc>
                <w:tcPr>
                  <w:tcW w:w="10681" w:type="dxa"/>
                </w:tcPr>
                <w:p w:rsidR="00642EFB" w:rsidRPr="00603981" w:rsidRDefault="00642EFB" w:rsidP="007734A8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39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42EFB" w:rsidRPr="007B0752" w:rsidRDefault="00642EFB" w:rsidP="00642EF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</w:tcPr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Durée d’affectation souhaitée sur le poste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ans </w:t>
            </w:r>
          </w:p>
          <w:p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EFB" w:rsidRPr="007B0752" w:rsidRDefault="00642EFB" w:rsidP="00642EF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912"/>
      </w:tblGrid>
      <w:tr w:rsidR="00642EFB" w:rsidRPr="00603981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981">
              <w:rPr>
                <w:rFonts w:ascii="Times New Roman" w:hAnsi="Times New Roman" w:cs="Times New Roman"/>
                <w:b/>
              </w:rPr>
              <w:t>CONTACTS</w:t>
            </w:r>
          </w:p>
        </w:tc>
      </w:tr>
      <w:tr w:rsidR="00642EFB" w:rsidRPr="00545727" w:rsidTr="007734A8">
        <w:tc>
          <w:tcPr>
            <w:tcW w:w="10912" w:type="dxa"/>
            <w:tcBorders>
              <w:top w:val="single" w:sz="4" w:space="0" w:color="auto"/>
            </w:tcBorders>
          </w:tcPr>
          <w:p w:rsidR="00642EFB" w:rsidRPr="00360533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Membres de l’équipe de préfiguration à contacter : </w:t>
            </w:r>
          </w:p>
          <w:p w:rsidR="00642EFB" w:rsidRPr="00360533" w:rsidRDefault="00642EFB" w:rsidP="007734A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0533">
              <w:rPr>
                <w:rFonts w:ascii="Times New Roman" w:hAnsi="Times New Roman" w:cs="Times New Roman"/>
                <w:sz w:val="20"/>
                <w:szCs w:val="20"/>
              </w:rPr>
              <w:t xml:space="preserve">Hélène CART-GRANDJEAN (chef du bureau PF1) </w:t>
            </w:r>
          </w:p>
          <w:p w:rsidR="00642EFB" w:rsidRPr="00360533" w:rsidRDefault="00D8654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42EFB" w:rsidRPr="00360533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Hélène.CART-GRANDJEAN@sante.gouv.fr</w:t>
              </w:r>
            </w:hyperlink>
          </w:p>
          <w:p w:rsidR="00642EFB" w:rsidRPr="00360533" w:rsidRDefault="00CA3B44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01.40.46.72.59</w:t>
            </w:r>
          </w:p>
          <w:p w:rsidR="00642EFB" w:rsidRPr="00360533" w:rsidRDefault="00642EF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FB" w:rsidRPr="00360533" w:rsidRDefault="00CA3B44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Julie LAGRAVE (adjointe au chef du bureau PF1)</w:t>
            </w:r>
          </w:p>
          <w:p w:rsidR="00642EFB" w:rsidRPr="00360533" w:rsidRDefault="00D8654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42EFB" w:rsidRPr="00360533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julie.lagrave@sante.gouv.fr</w:t>
              </w:r>
            </w:hyperlink>
          </w:p>
          <w:p w:rsidR="00642EFB" w:rsidRDefault="00CA3B4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01.40.56.82.37</w:t>
            </w:r>
          </w:p>
          <w:p w:rsidR="001C5F04" w:rsidRDefault="001C5F0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04" w:rsidRDefault="001C5F0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Gilles HEBBRECHT (chef de programme SIMPHONIE)</w:t>
            </w:r>
          </w:p>
          <w:p w:rsidR="001C5F04" w:rsidRDefault="00D8654B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C5F04" w:rsidRPr="009B2D6B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Gilles.hebbrecht@sante.gouv.fr</w:t>
              </w:r>
            </w:hyperlink>
          </w:p>
          <w:p w:rsidR="001C5F04" w:rsidRPr="001C5F04" w:rsidRDefault="001C5F0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5F04">
              <w:rPr>
                <w:rFonts w:ascii="Times New Roman" w:hAnsi="Times New Roman" w:cs="Times New Roman"/>
                <w:sz w:val="20"/>
                <w:szCs w:val="20"/>
              </w:rPr>
              <w:t>01.40.56.50.11</w:t>
            </w:r>
          </w:p>
        </w:tc>
      </w:tr>
    </w:tbl>
    <w:p w:rsidR="000A6CD7" w:rsidRDefault="000A6CD7"/>
    <w:sectPr w:rsidR="000A6CD7" w:rsidSect="007734A8">
      <w:pgSz w:w="11906" w:h="16838"/>
      <w:pgMar w:top="180" w:right="567" w:bottom="284" w:left="567" w:header="3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51" w:rsidRDefault="00352A51">
      <w:r>
        <w:separator/>
      </w:r>
    </w:p>
  </w:endnote>
  <w:endnote w:type="continuationSeparator" w:id="0">
    <w:p w:rsidR="00352A51" w:rsidRDefault="0035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51" w:rsidRDefault="00352A51">
      <w:r>
        <w:separator/>
      </w:r>
    </w:p>
  </w:footnote>
  <w:footnote w:type="continuationSeparator" w:id="0">
    <w:p w:rsidR="00352A51" w:rsidRDefault="00352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76"/>
    <w:multiLevelType w:val="hybridMultilevel"/>
    <w:tmpl w:val="60D89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C1E"/>
    <w:multiLevelType w:val="hybridMultilevel"/>
    <w:tmpl w:val="587E36E0"/>
    <w:lvl w:ilvl="0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19BF6D35"/>
    <w:multiLevelType w:val="hybridMultilevel"/>
    <w:tmpl w:val="837A6818"/>
    <w:lvl w:ilvl="0" w:tplc="59186B08">
      <w:numFmt w:val="bullet"/>
      <w:lvlText w:val="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3FD03EF"/>
    <w:multiLevelType w:val="hybridMultilevel"/>
    <w:tmpl w:val="0C22BC6A"/>
    <w:lvl w:ilvl="0" w:tplc="5A3C3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D5B37"/>
    <w:multiLevelType w:val="hybridMultilevel"/>
    <w:tmpl w:val="77E036A8"/>
    <w:lvl w:ilvl="0" w:tplc="EF8A1FC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F1C2B"/>
    <w:multiLevelType w:val="hybridMultilevel"/>
    <w:tmpl w:val="A69E86DE"/>
    <w:lvl w:ilvl="0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75F04C5C"/>
    <w:multiLevelType w:val="hybridMultilevel"/>
    <w:tmpl w:val="64D83622"/>
    <w:lvl w:ilvl="0" w:tplc="D4B4A02E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EFB"/>
    <w:rsid w:val="000A6CD7"/>
    <w:rsid w:val="000B5835"/>
    <w:rsid w:val="001C5F04"/>
    <w:rsid w:val="001E364C"/>
    <w:rsid w:val="00352A51"/>
    <w:rsid w:val="00360533"/>
    <w:rsid w:val="003853B5"/>
    <w:rsid w:val="0055799E"/>
    <w:rsid w:val="005C5C13"/>
    <w:rsid w:val="00642EFB"/>
    <w:rsid w:val="006D290B"/>
    <w:rsid w:val="007734A8"/>
    <w:rsid w:val="007C20DA"/>
    <w:rsid w:val="007F5262"/>
    <w:rsid w:val="00942284"/>
    <w:rsid w:val="0098345D"/>
    <w:rsid w:val="009A6B8C"/>
    <w:rsid w:val="009F704F"/>
    <w:rsid w:val="00A752C3"/>
    <w:rsid w:val="00B31AAF"/>
    <w:rsid w:val="00C75F5E"/>
    <w:rsid w:val="00CA3B44"/>
    <w:rsid w:val="00CD30C0"/>
    <w:rsid w:val="00D00715"/>
    <w:rsid w:val="00D26135"/>
    <w:rsid w:val="00D8654B"/>
    <w:rsid w:val="00F016E0"/>
    <w:rsid w:val="00FC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FB"/>
    <w:p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42EFB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spacing w:val="2"/>
    </w:rPr>
  </w:style>
  <w:style w:type="character" w:customStyle="1" w:styleId="En-tteCar">
    <w:name w:val="En-tête Car"/>
    <w:basedOn w:val="Policepardfaut"/>
    <w:link w:val="En-tte"/>
    <w:rsid w:val="00642EFB"/>
    <w:rPr>
      <w:rFonts w:ascii="Times New Roman" w:eastAsia="Times New Roman" w:hAnsi="Times New Roman" w:cs="Times New Roman"/>
      <w:spacing w:val="2"/>
      <w:lang w:eastAsia="fr-FR"/>
    </w:rPr>
  </w:style>
  <w:style w:type="character" w:customStyle="1" w:styleId="Fort">
    <w:name w:val="Fort"/>
    <w:rsid w:val="00642EFB"/>
    <w:rPr>
      <w:b/>
      <w:bCs/>
    </w:rPr>
  </w:style>
  <w:style w:type="character" w:styleId="Lienhypertexte">
    <w:name w:val="Hyperlink"/>
    <w:basedOn w:val="Policepardfaut"/>
    <w:rsid w:val="00642EF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642EFB"/>
    <w:pPr>
      <w:ind w:left="1276"/>
    </w:pPr>
    <w:rPr>
      <w:rFonts w:ascii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2E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9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99E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D30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D30C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me.fonction-publique.gouv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les.hebbrecht@sante.gouv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lie.lagrave@sant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&#233;l&#232;ne.CART-GRANDJEAN@san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1554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Lagrave</dc:creator>
  <cp:lastModifiedBy>Julie Lagrave</cp:lastModifiedBy>
  <cp:revision>3</cp:revision>
  <dcterms:created xsi:type="dcterms:W3CDTF">2016-07-20T13:14:00Z</dcterms:created>
  <dcterms:modified xsi:type="dcterms:W3CDTF">2016-07-20T13:16:00Z</dcterms:modified>
</cp:coreProperties>
</file>